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8370FE" w:rsidP="0075178A">
            <w:pPr>
              <w:spacing w:before="240"/>
              <w:jc w:val="center"/>
              <w:rPr>
                <w:b/>
                <w:color w:val="FFFFFF" w:themeColor="background1"/>
                <w:sz w:val="32"/>
                <w:szCs w:val="32"/>
              </w:rPr>
            </w:pPr>
            <w:bookmarkStart w:id="0" w:name="_Toc443479823"/>
            <w:r>
              <w:rPr>
                <w:b/>
                <w:color w:val="FFFFFF" w:themeColor="background1"/>
                <w:sz w:val="32"/>
                <w:szCs w:val="32"/>
              </w:rPr>
              <w:t xml:space="preserve"> </w:t>
            </w:r>
            <w:r w:rsidR="00A45FAC" w:rsidRPr="00A45FAC">
              <w:rPr>
                <w:b/>
                <w:color w:val="FFFFFF" w:themeColor="background1"/>
                <w:sz w:val="32"/>
                <w:szCs w:val="32"/>
              </w:rPr>
              <w:t xml:space="preserve">Niveaubestimmende Aufgabe zum Fachlehrplan </w:t>
            </w:r>
            <w:r w:rsidR="00E1733C">
              <w:rPr>
                <w:b/>
                <w:color w:val="FFFFFF" w:themeColor="background1"/>
                <w:sz w:val="32"/>
                <w:szCs w:val="32"/>
              </w:rPr>
              <w:t xml:space="preserve">Ethikunterricht </w:t>
            </w:r>
            <w:r w:rsidR="00A45FAC" w:rsidRPr="00A45FAC">
              <w:rPr>
                <w:b/>
                <w:color w:val="FFFFFF" w:themeColor="background1"/>
                <w:sz w:val="32"/>
                <w:szCs w:val="32"/>
              </w:rPr>
              <w:t>Gymnasium</w:t>
            </w:r>
          </w:p>
          <w:p w:rsidR="00A45FAC" w:rsidRDefault="00A45FAC" w:rsidP="0075178A">
            <w:pPr>
              <w:spacing w:line="240" w:lineRule="auto"/>
              <w:jc w:val="center"/>
              <w:rPr>
                <w:b/>
                <w:color w:val="FFFFFF" w:themeColor="background1"/>
                <w:sz w:val="32"/>
                <w:szCs w:val="32"/>
              </w:rPr>
            </w:pPr>
          </w:p>
          <w:p w:rsidR="00A45FAC" w:rsidRPr="00A45FAC" w:rsidRDefault="00390F1E" w:rsidP="00A45FAC">
            <w:pPr>
              <w:jc w:val="center"/>
              <w:rPr>
                <w:b/>
                <w:color w:val="FFFFFF" w:themeColor="background1"/>
                <w:sz w:val="28"/>
                <w:szCs w:val="28"/>
              </w:rPr>
            </w:pPr>
            <w:r>
              <w:rPr>
                <w:b/>
                <w:color w:val="FFFFFF" w:themeColor="background1"/>
                <w:sz w:val="28"/>
                <w:szCs w:val="28"/>
              </w:rPr>
              <w:t>Religion und Weltanschauung</w:t>
            </w:r>
            <w:r w:rsidR="00E1733C">
              <w:rPr>
                <w:b/>
                <w:color w:val="FFFFFF" w:themeColor="background1"/>
                <w:sz w:val="28"/>
                <w:szCs w:val="28"/>
              </w:rPr>
              <w:t>: Endlich leben?</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E1733C">
              <w:rPr>
                <w:color w:val="FFFFFF" w:themeColor="background1"/>
                <w:sz w:val="28"/>
                <w:szCs w:val="28"/>
              </w:rPr>
              <w:t>7/8)</w:t>
            </w:r>
          </w:p>
          <w:p w:rsidR="00A45FAC" w:rsidRPr="00A45FAC" w:rsidRDefault="00A45FAC" w:rsidP="00A45FAC">
            <w:pPr>
              <w:jc w:val="center"/>
              <w:rPr>
                <w:color w:val="FFFFFF" w:themeColor="background1"/>
                <w:sz w:val="28"/>
                <w:szCs w:val="28"/>
              </w:rPr>
            </w:pPr>
          </w:p>
          <w:p w:rsidR="00A45FAC" w:rsidRDefault="00A45FAC" w:rsidP="00A45FAC">
            <w:pPr>
              <w:jc w:val="center"/>
              <w:rPr>
                <w:lang w:eastAsia="de-DE"/>
              </w:rPr>
            </w:pPr>
            <w:r w:rsidRPr="00A45FAC">
              <w:rPr>
                <w:color w:val="FFFFFF" w:themeColor="background1"/>
                <w:sz w:val="24"/>
              </w:rPr>
              <w:t xml:space="preserve">(Arbeitsstand: </w:t>
            </w:r>
            <w:r w:rsidR="00E1733C">
              <w:rPr>
                <w:color w:val="FFFFFF" w:themeColor="background1"/>
                <w:sz w:val="24"/>
              </w:rPr>
              <w:t>07.07.2016</w:t>
            </w:r>
            <w:r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E1733C">
        <w:rPr>
          <w:lang w:eastAsia="de-DE"/>
        </w:rPr>
        <w:t xml:space="preserve"> oder direkt an ralf.schmidt</w:t>
      </w:r>
      <w:r w:rsidR="00653A8E">
        <w:rPr>
          <w:lang w:eastAsia="de-DE"/>
        </w:rPr>
        <w:t>@lisa.mb.sachsen-anhalt.de</w:t>
      </w:r>
      <w:r w:rsidR="00E1733C">
        <w:rPr>
          <w:lang w:eastAsia="de-DE"/>
        </w:rPr>
        <w:t>.</w:t>
      </w:r>
    </w:p>
    <w:p w:rsidR="00743B91" w:rsidRDefault="00743B91" w:rsidP="00332640">
      <w:pPr>
        <w:spacing w:line="240" w:lineRule="auto"/>
        <w:rPr>
          <w:lang w:eastAsia="de-DE"/>
        </w:rPr>
      </w:pPr>
    </w:p>
    <w:p w:rsidR="00743B91" w:rsidRDefault="00743B91" w:rsidP="00E1733C">
      <w:pPr>
        <w:spacing w:after="240" w:line="240" w:lineRule="auto"/>
        <w:rPr>
          <w:lang w:eastAsia="de-DE"/>
        </w:rPr>
      </w:pPr>
      <w:r>
        <w:rPr>
          <w:lang w:eastAsia="de-DE"/>
        </w:rPr>
        <w:t>An der Erarbeitung der niveaubestimmenden Aufgabe haben mitgewirkt:</w:t>
      </w:r>
    </w:p>
    <w:p w:rsidR="00E1733C" w:rsidRDefault="00E1733C" w:rsidP="00E1733C">
      <w:pPr>
        <w:tabs>
          <w:tab w:val="left" w:pos="4140"/>
        </w:tabs>
      </w:pPr>
      <w:r>
        <w:t>Dittrich, Frank</w:t>
      </w:r>
      <w:r>
        <w:tab/>
        <w:t>Dessau</w:t>
      </w:r>
    </w:p>
    <w:p w:rsidR="00E1733C" w:rsidRDefault="00E1733C" w:rsidP="00E1733C">
      <w:pPr>
        <w:tabs>
          <w:tab w:val="left" w:pos="4140"/>
        </w:tabs>
      </w:pPr>
      <w:r>
        <w:t>Kurtz, Peter</w:t>
      </w:r>
      <w:r>
        <w:tab/>
        <w:t>Schulpforte</w:t>
      </w:r>
    </w:p>
    <w:p w:rsidR="00E1733C" w:rsidRDefault="00E1733C" w:rsidP="00E1733C">
      <w:pPr>
        <w:tabs>
          <w:tab w:val="left" w:pos="4140"/>
        </w:tabs>
      </w:pPr>
      <w:r>
        <w:t>Dr. Reuter, Michael</w:t>
      </w:r>
      <w:r>
        <w:tab/>
        <w:t>Magdeburg</w:t>
      </w:r>
    </w:p>
    <w:p w:rsidR="00E1733C" w:rsidRDefault="00E1733C" w:rsidP="00E1733C">
      <w:pPr>
        <w:tabs>
          <w:tab w:val="left" w:pos="4140"/>
        </w:tabs>
      </w:pPr>
      <w:r>
        <w:t>Dr. Schmidt, Ralf</w:t>
      </w:r>
      <w:r>
        <w:tab/>
        <w:t>Halle (Leitung der Fachgruppe)</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r>
        <w:t>Riebeckplatz 09</w:t>
      </w:r>
    </w:p>
    <w:p w:rsidR="00743B91" w:rsidRDefault="00743B91" w:rsidP="00332640">
      <w:pPr>
        <w:spacing w:line="240" w:lineRule="auto"/>
        <w:ind w:left="1560" w:right="2125"/>
      </w:pPr>
      <w:r>
        <w:t>06110 Halle</w:t>
      </w: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CD5C0A" w:rsidRPr="0088254A" w:rsidRDefault="00CD5C0A" w:rsidP="00CD5C0A">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CD5C0A" w:rsidRPr="0088254A" w:rsidRDefault="00CD5C0A" w:rsidP="00CD5C0A">
      <w:pPr>
        <w:spacing w:before="60" w:line="240" w:lineRule="auto"/>
        <w:jc w:val="both"/>
        <w:rPr>
          <w:rFonts w:eastAsia="Calibri" w:cs="Arial"/>
          <w:sz w:val="20"/>
          <w:szCs w:val="20"/>
        </w:rPr>
      </w:pPr>
    </w:p>
    <w:p w:rsidR="00CD5C0A" w:rsidRPr="003F24EB" w:rsidRDefault="00CD5C0A" w:rsidP="00CD5C0A">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3C699390" wp14:editId="394EC498">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1DD8C76C" wp14:editId="206749A9">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CD5C0A" w:rsidRPr="003F24EB" w:rsidRDefault="00CD5C0A" w:rsidP="00CD5C0A">
      <w:pPr>
        <w:spacing w:before="60" w:line="240" w:lineRule="auto"/>
        <w:jc w:val="both"/>
        <w:rPr>
          <w:rFonts w:eastAsia="Calibri" w:cs="Arial"/>
          <w:sz w:val="20"/>
          <w:szCs w:val="20"/>
          <w:lang w:val="en-US"/>
        </w:rPr>
      </w:pPr>
    </w:p>
    <w:p w:rsidR="00CD5C0A" w:rsidRPr="0088254A" w:rsidRDefault="00CD5C0A" w:rsidP="00CD5C0A">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CD5C0A" w:rsidRPr="0088254A" w:rsidRDefault="00CD5C0A" w:rsidP="00CD5C0A">
      <w:pPr>
        <w:widowControl w:val="0"/>
        <w:autoSpaceDE w:val="0"/>
        <w:autoSpaceDN w:val="0"/>
        <w:adjustRightInd w:val="0"/>
        <w:spacing w:line="240" w:lineRule="auto"/>
        <w:jc w:val="both"/>
        <w:rPr>
          <w:rFonts w:cs="Arial"/>
          <w:sz w:val="20"/>
          <w:szCs w:val="20"/>
        </w:rPr>
      </w:pPr>
      <w:r w:rsidRPr="0088254A">
        <w:rPr>
          <w:rFonts w:cs="Arial"/>
          <w:iCs/>
          <w:sz w:val="20"/>
          <w:szCs w:val="20"/>
        </w:rPr>
        <w:t> </w:t>
      </w:r>
    </w:p>
    <w:p w:rsidR="00CD5C0A" w:rsidRPr="0088254A" w:rsidRDefault="00CD5C0A" w:rsidP="00CD5C0A">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E1733C" w:rsidRPr="00DB61F7" w:rsidRDefault="00E1733C" w:rsidP="00E1733C">
      <w:bookmarkStart w:id="1" w:name="_GoBack"/>
      <w:bookmarkEnd w:id="1"/>
      <w:r w:rsidRPr="00D9344A">
        <w:rPr>
          <w:b/>
        </w:rPr>
        <w:lastRenderedPageBreak/>
        <w:t xml:space="preserve">Aufgaben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E1733C" w:rsidRPr="002C0B90" w:rsidTr="00EE039E">
        <w:tc>
          <w:tcPr>
            <w:tcW w:w="9322" w:type="dxa"/>
            <w:shd w:val="clear" w:color="auto" w:fill="auto"/>
          </w:tcPr>
          <w:p w:rsidR="00E1733C" w:rsidRPr="005A4C52" w:rsidRDefault="00E1733C" w:rsidP="00E1733C">
            <w:pPr>
              <w:pStyle w:val="Listenabsatz"/>
              <w:numPr>
                <w:ilvl w:val="0"/>
                <w:numId w:val="9"/>
              </w:numPr>
              <w:pBdr>
                <w:top w:val="nil"/>
                <w:left w:val="nil"/>
                <w:bottom w:val="nil"/>
                <w:right w:val="nil"/>
                <w:between w:val="nil"/>
                <w:bar w:val="nil"/>
              </w:pBdr>
              <w:spacing w:before="60" w:after="60" w:line="240" w:lineRule="auto"/>
              <w:ind w:left="284" w:hanging="284"/>
            </w:pPr>
            <w:r w:rsidRPr="00971F9A">
              <w:t xml:space="preserve">Erläutere das Lebensmotto „YOLO“ – </w:t>
            </w:r>
            <w:r w:rsidRPr="0041034D">
              <w:rPr>
                <w:i/>
              </w:rPr>
              <w:t>You only live once</w:t>
            </w:r>
            <w:r w:rsidRPr="00971F9A">
              <w:t xml:space="preserve"> – und prüfe, inwiefern es zu dei</w:t>
            </w:r>
            <w:r>
              <w:t>ner Lebensauffassung passt.</w:t>
            </w:r>
          </w:p>
        </w:tc>
      </w:tr>
      <w:tr w:rsidR="00E1733C" w:rsidRPr="002C0B90" w:rsidTr="00EE039E">
        <w:tc>
          <w:tcPr>
            <w:tcW w:w="9322" w:type="dxa"/>
            <w:shd w:val="clear" w:color="auto" w:fill="auto"/>
          </w:tcPr>
          <w:p w:rsidR="00E1733C" w:rsidRPr="002C0B90" w:rsidRDefault="00E1733C" w:rsidP="00E1733C">
            <w:pPr>
              <w:pStyle w:val="Listenabsatz"/>
              <w:numPr>
                <w:ilvl w:val="0"/>
                <w:numId w:val="9"/>
              </w:numPr>
              <w:spacing w:before="60" w:after="60" w:line="240" w:lineRule="auto"/>
              <w:ind w:left="284" w:hanging="284"/>
            </w:pPr>
            <w:r w:rsidRPr="005A4C52">
              <w:t xml:space="preserve">Beschreibt das Problem der „One Minute Fly“ aus Michael Reicherts Film </w:t>
            </w:r>
            <w:r>
              <w:t xml:space="preserve">(Material) </w:t>
            </w:r>
            <w:r w:rsidRPr="005A4C52">
              <w:t>und diskutiert, ob und inwiefern das Problem der Fliege im Film gelöst wird.</w:t>
            </w:r>
          </w:p>
        </w:tc>
      </w:tr>
      <w:tr w:rsidR="00E1733C" w:rsidRPr="002C0B90" w:rsidTr="00EE039E">
        <w:tc>
          <w:tcPr>
            <w:tcW w:w="9322" w:type="dxa"/>
            <w:shd w:val="clear" w:color="auto" w:fill="auto"/>
          </w:tcPr>
          <w:p w:rsidR="00E1733C" w:rsidRDefault="00E1733C" w:rsidP="00E1733C">
            <w:pPr>
              <w:pStyle w:val="Listenabsatz"/>
              <w:numPr>
                <w:ilvl w:val="0"/>
                <w:numId w:val="9"/>
              </w:numPr>
              <w:spacing w:before="60" w:after="60" w:line="240" w:lineRule="auto"/>
              <w:ind w:left="284" w:hanging="284"/>
            </w:pPr>
            <w:r w:rsidRPr="005A4C52">
              <w:t>Schreibt ein alternatives Filmende. (Euer Drehbuch setzt ein mit der Szene „get desperate …“ – die Lebensuhr der Fliege zeigt 0:04 [Laufzeit Film ca. 2:45 min])</w:t>
            </w:r>
          </w:p>
        </w:tc>
      </w:tr>
      <w:tr w:rsidR="00E1733C" w:rsidRPr="002C0B90" w:rsidTr="00EE039E">
        <w:tc>
          <w:tcPr>
            <w:tcW w:w="9322" w:type="dxa"/>
            <w:shd w:val="clear" w:color="auto" w:fill="auto"/>
          </w:tcPr>
          <w:p w:rsidR="00E1733C" w:rsidRDefault="00E1733C" w:rsidP="00E1733C">
            <w:pPr>
              <w:pStyle w:val="Listenabsatz"/>
              <w:numPr>
                <w:ilvl w:val="0"/>
                <w:numId w:val="9"/>
              </w:numPr>
              <w:pBdr>
                <w:top w:val="nil"/>
                <w:left w:val="nil"/>
                <w:bottom w:val="nil"/>
                <w:right w:val="nil"/>
                <w:between w:val="nil"/>
                <w:bar w:val="nil"/>
              </w:pBdr>
              <w:spacing w:before="60" w:after="60" w:line="240" w:lineRule="auto"/>
              <w:ind w:left="284" w:hanging="284"/>
            </w:pPr>
            <w:r w:rsidRPr="005A4C52">
              <w:t xml:space="preserve">Bewerte das Anliegen einer Liste von </w:t>
            </w:r>
            <w:r>
              <w:t>„</w:t>
            </w:r>
            <w:r w:rsidRPr="005A4C52">
              <w:t>things to do before I die</w:t>
            </w:r>
            <w:r>
              <w:t>“</w:t>
            </w:r>
            <w:r w:rsidRPr="005A4C52">
              <w:t xml:space="preserve"> aus christlicher und aus buddhistischer Perspektive. Vergleicht anschließend die beiden Bewertungen.</w:t>
            </w:r>
          </w:p>
        </w:tc>
      </w:tr>
      <w:tr w:rsidR="00E1733C" w:rsidRPr="002C0B90" w:rsidTr="00EE039E">
        <w:tc>
          <w:tcPr>
            <w:tcW w:w="9322" w:type="dxa"/>
            <w:shd w:val="clear" w:color="auto" w:fill="auto"/>
          </w:tcPr>
          <w:p w:rsidR="00E1733C" w:rsidRDefault="00E1733C" w:rsidP="00E1733C">
            <w:pPr>
              <w:pStyle w:val="Listenabsatz"/>
              <w:numPr>
                <w:ilvl w:val="0"/>
                <w:numId w:val="9"/>
              </w:numPr>
              <w:pBdr>
                <w:top w:val="nil"/>
                <w:left w:val="nil"/>
                <w:bottom w:val="nil"/>
                <w:right w:val="nil"/>
                <w:between w:val="nil"/>
                <w:bar w:val="nil"/>
              </w:pBdr>
              <w:spacing w:before="60" w:after="60" w:line="240" w:lineRule="auto"/>
              <w:ind w:left="284" w:hanging="284"/>
            </w:pPr>
            <w:r w:rsidRPr="005A4C52">
              <w:t>Nimm in Auseinandersetzung mit „One minute fly“ Stellung zur These des Psychiaters Manfred Lütz: „Wenn es keinen lieben Gott gibt und mit dem Tod alles aus ist, dann wird es hektisch im Leben.“</w:t>
            </w:r>
            <w:r>
              <w:rPr>
                <w:rStyle w:val="Funotenzeichen"/>
              </w:rPr>
              <w:footnoteReference w:id="1"/>
            </w:r>
          </w:p>
        </w:tc>
      </w:tr>
    </w:tbl>
    <w:p w:rsidR="00E1733C" w:rsidRPr="002C0B90" w:rsidRDefault="00E1733C" w:rsidP="00E1733C"/>
    <w:p w:rsidR="00E1733C" w:rsidRDefault="00E1733C" w:rsidP="00E1733C">
      <w:pPr>
        <w:rPr>
          <w:b/>
        </w:rPr>
      </w:pPr>
    </w:p>
    <w:p w:rsidR="00E1733C" w:rsidRDefault="00E1733C" w:rsidP="00E1733C">
      <w:pPr>
        <w:rPr>
          <w:b/>
        </w:rPr>
      </w:pPr>
      <w:r>
        <w:rPr>
          <w:b/>
        </w:rPr>
        <w:t>Material</w:t>
      </w:r>
    </w:p>
    <w:p w:rsidR="00E1733C" w:rsidRDefault="00E1733C" w:rsidP="00E1733C">
      <w:pPr>
        <w:rPr>
          <w:b/>
        </w:rPr>
      </w:pPr>
    </w:p>
    <w:p w:rsidR="00E1733C" w:rsidRDefault="00E1733C" w:rsidP="00E1733C">
      <w:pPr>
        <w:rPr>
          <w:b/>
        </w:rPr>
      </w:pPr>
      <w:r>
        <w:rPr>
          <w:b/>
          <w:noProof/>
          <w:lang w:eastAsia="de-DE"/>
        </w:rPr>
        <w:drawing>
          <wp:inline distT="0" distB="0" distL="0" distR="0" wp14:anchorId="117320F5" wp14:editId="08C404DD">
            <wp:extent cx="2466975" cy="18478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rsidR="00E1733C" w:rsidRPr="00F467A3" w:rsidRDefault="00E1733C" w:rsidP="00E1733C">
      <w:pPr>
        <w:pBdr>
          <w:top w:val="nil"/>
          <w:left w:val="nil"/>
          <w:bottom w:val="nil"/>
          <w:right w:val="nil"/>
          <w:between w:val="nil"/>
          <w:bar w:val="nil"/>
        </w:pBdr>
        <w:spacing w:line="276" w:lineRule="auto"/>
        <w:rPr>
          <w:rFonts w:eastAsia="Arial Unicode MS" w:cs="Arial"/>
          <w:i/>
          <w:sz w:val="20"/>
          <w:szCs w:val="20"/>
          <w:bdr w:val="nil"/>
        </w:rPr>
      </w:pPr>
      <w:r w:rsidRPr="00F467A3">
        <w:rPr>
          <w:rFonts w:eastAsia="Arial Unicode MS" w:cs="Arial"/>
          <w:i/>
          <w:sz w:val="20"/>
          <w:szCs w:val="20"/>
          <w:bdr w:val="nil"/>
        </w:rPr>
        <w:t>Michael Reichert: „One minute fly“ (Kurzfilm, ca. 4 min, D 2008)</w:t>
      </w:r>
      <w:r w:rsidRPr="00F467A3">
        <w:rPr>
          <w:rFonts w:eastAsia="Arial Unicode MS" w:cs="Arial"/>
          <w:i/>
          <w:color w:val="FF0000"/>
          <w:sz w:val="20"/>
          <w:szCs w:val="20"/>
          <w:bdr w:val="nil"/>
        </w:rPr>
        <w:t xml:space="preserve"> </w:t>
      </w:r>
      <w:r w:rsidRPr="00F467A3">
        <w:rPr>
          <w:rFonts w:eastAsia="Arial Unicode MS" w:cs="Arial"/>
          <w:i/>
          <w:sz w:val="20"/>
          <w:szCs w:val="20"/>
          <w:bdr w:val="nil"/>
        </w:rPr>
        <w:t>(</w:t>
      </w:r>
      <w:hyperlink r:id="rId14" w:history="1">
        <w:r w:rsidRPr="00F467A3">
          <w:rPr>
            <w:rFonts w:eastAsia="Arial Unicode MS" w:cs="Arial"/>
            <w:i/>
            <w:color w:val="0000FF" w:themeColor="hyperlink"/>
            <w:sz w:val="20"/>
            <w:szCs w:val="20"/>
            <w:u w:val="single"/>
            <w:bdr w:val="nil"/>
          </w:rPr>
          <w:t>https://www.youtube.com/watch?v=6Wf8yEb1cwY</w:t>
        </w:r>
      </w:hyperlink>
      <w:r w:rsidR="00922001">
        <w:rPr>
          <w:rFonts w:eastAsia="Arial Unicode MS" w:cs="Arial"/>
          <w:i/>
          <w:sz w:val="20"/>
          <w:szCs w:val="20"/>
          <w:bdr w:val="nil"/>
        </w:rPr>
        <w:t>)</w:t>
      </w:r>
    </w:p>
    <w:p w:rsidR="00E1733C" w:rsidRDefault="00E1733C" w:rsidP="00E1733C">
      <w:pPr>
        <w:spacing w:after="200" w:line="276" w:lineRule="auto"/>
        <w:rPr>
          <w:rFonts w:asciiTheme="minorHAnsi" w:eastAsia="Arial Unicode MS" w:hAnsiTheme="minorHAnsi"/>
          <w:sz w:val="24"/>
          <w:szCs w:val="20"/>
          <w:bdr w:val="nil"/>
        </w:rPr>
      </w:pPr>
      <w:r>
        <w:rPr>
          <w:rFonts w:asciiTheme="minorHAnsi" w:eastAsia="Arial Unicode MS" w:hAnsiTheme="minorHAnsi"/>
          <w:sz w:val="24"/>
          <w:szCs w:val="20"/>
          <w:bdr w:val="nil"/>
        </w:rPr>
        <w:br w:type="page"/>
      </w:r>
    </w:p>
    <w:p w:rsidR="00E1733C" w:rsidRPr="00D9344A" w:rsidRDefault="00E1733C" w:rsidP="00E1733C">
      <w:pPr>
        <w:rPr>
          <w:b/>
        </w:rPr>
      </w:pPr>
      <w:r w:rsidRPr="00D9344A">
        <w:rPr>
          <w:b/>
        </w:rPr>
        <w:lastRenderedPageBreak/>
        <w:t xml:space="preserve">Einordnung in den </w:t>
      </w:r>
      <w:r>
        <w:rPr>
          <w:b/>
        </w:rPr>
        <w:t>Fachlehrplan</w:t>
      </w:r>
    </w:p>
    <w:tbl>
      <w:tblPr>
        <w:tblW w:w="9356"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56"/>
      </w:tblGrid>
      <w:tr w:rsidR="00E1733C" w:rsidRPr="002C0B90" w:rsidTr="00EE039E">
        <w:trPr>
          <w:trHeight w:val="341"/>
        </w:trPr>
        <w:tc>
          <w:tcPr>
            <w:tcW w:w="9356" w:type="dxa"/>
            <w:tcBorders>
              <w:top w:val="single" w:sz="8" w:space="0" w:color="000000"/>
              <w:bottom w:val="single" w:sz="8" w:space="0" w:color="000000"/>
            </w:tcBorders>
            <w:shd w:val="clear" w:color="auto" w:fill="E0E0E0"/>
          </w:tcPr>
          <w:p w:rsidR="00E1733C" w:rsidRPr="002A27B3" w:rsidRDefault="00E1733C" w:rsidP="00EE039E">
            <w:pPr>
              <w:spacing w:before="120" w:after="120" w:line="240" w:lineRule="auto"/>
            </w:pPr>
            <w:r w:rsidRPr="002A27B3">
              <w:t>Kompetenzschwerpunkt(e) bzw. Kompetenzbereiche:</w:t>
            </w:r>
          </w:p>
          <w:p w:rsidR="00E1733C" w:rsidRPr="002A27B3" w:rsidRDefault="00E1733C" w:rsidP="00E1733C">
            <w:pPr>
              <w:pStyle w:val="Listenabsatz"/>
              <w:numPr>
                <w:ilvl w:val="0"/>
                <w:numId w:val="8"/>
              </w:numPr>
              <w:spacing w:before="120" w:after="120" w:line="240" w:lineRule="auto"/>
            </w:pPr>
            <w:r w:rsidRPr="00EE229C">
              <w:t>Religion und Weltanschauung: Erlösungsvorstellungen in d</w:t>
            </w:r>
            <w:r>
              <w:t>en Weltreligionen charakterisie</w:t>
            </w:r>
            <w:r w:rsidRPr="00EE229C">
              <w:t>ren</w:t>
            </w:r>
          </w:p>
        </w:tc>
      </w:tr>
      <w:tr w:rsidR="00E1733C" w:rsidRPr="002C0B90" w:rsidTr="00EE039E">
        <w:trPr>
          <w:trHeight w:val="905"/>
        </w:trPr>
        <w:tc>
          <w:tcPr>
            <w:tcW w:w="9356" w:type="dxa"/>
            <w:tcBorders>
              <w:top w:val="single" w:sz="8" w:space="0" w:color="000000"/>
              <w:bottom w:val="single" w:sz="8" w:space="0" w:color="000000"/>
            </w:tcBorders>
          </w:tcPr>
          <w:p w:rsidR="00E1733C" w:rsidRPr="002A27B3" w:rsidRDefault="00E1733C" w:rsidP="00EE039E">
            <w:pPr>
              <w:spacing w:before="120" w:after="120" w:line="240" w:lineRule="auto"/>
            </w:pPr>
            <w:r w:rsidRPr="002A27B3">
              <w:t>zu entwickelnde (bzw. zu überprüfende) Kompetenzen:</w:t>
            </w:r>
          </w:p>
          <w:p w:rsidR="00E1733C" w:rsidRDefault="00E1733C" w:rsidP="00E1733C">
            <w:pPr>
              <w:pStyle w:val="Listenabsatz"/>
              <w:numPr>
                <w:ilvl w:val="0"/>
                <w:numId w:val="8"/>
              </w:numPr>
              <w:spacing w:line="276" w:lineRule="auto"/>
              <w:jc w:val="left"/>
            </w:pPr>
            <w:r>
              <w:t>die Vielfalt von Erlösungsvorstellungen in den Weltreligionen differenziert beschreiben</w:t>
            </w:r>
          </w:p>
          <w:p w:rsidR="00E1733C" w:rsidRDefault="00E1733C" w:rsidP="00E1733C">
            <w:pPr>
              <w:pStyle w:val="Listenabsatz"/>
              <w:numPr>
                <w:ilvl w:val="0"/>
                <w:numId w:val="8"/>
              </w:numPr>
              <w:spacing w:line="276" w:lineRule="auto"/>
              <w:jc w:val="left"/>
            </w:pPr>
            <w:r>
              <w:t xml:space="preserve">Jenseitsdeutungen und deren Konsequenzen für das Leben im </w:t>
            </w:r>
            <w:r w:rsidRPr="00F467A3">
              <w:t>„</w:t>
            </w:r>
            <w:r>
              <w:t>Diesseits</w:t>
            </w:r>
            <w:r w:rsidRPr="00F467A3">
              <w:t>“</w:t>
            </w:r>
            <w:r>
              <w:t xml:space="preserve"> diskutieren</w:t>
            </w:r>
          </w:p>
          <w:p w:rsidR="00E1733C" w:rsidRPr="00EE229C" w:rsidRDefault="00E1733C" w:rsidP="00E1733C">
            <w:pPr>
              <w:pStyle w:val="Listenabsatz"/>
              <w:numPr>
                <w:ilvl w:val="0"/>
                <w:numId w:val="8"/>
              </w:numPr>
              <w:spacing w:after="60" w:line="240" w:lineRule="auto"/>
              <w:contextualSpacing w:val="0"/>
              <w:rPr>
                <w:szCs w:val="20"/>
              </w:rPr>
            </w:pPr>
            <w:r>
              <w:t>eigene Vorstellungen vom Sinn des Lebens in Bildern gestalten</w:t>
            </w:r>
          </w:p>
        </w:tc>
      </w:tr>
      <w:tr w:rsidR="00E1733C" w:rsidRPr="002C0B90" w:rsidTr="00EE039E">
        <w:trPr>
          <w:trHeight w:val="525"/>
        </w:trPr>
        <w:tc>
          <w:tcPr>
            <w:tcW w:w="9356" w:type="dxa"/>
            <w:tcBorders>
              <w:top w:val="single" w:sz="8" w:space="0" w:color="000000"/>
              <w:bottom w:val="single" w:sz="8" w:space="0" w:color="000000"/>
            </w:tcBorders>
          </w:tcPr>
          <w:p w:rsidR="00E1733C" w:rsidRPr="002A27B3" w:rsidRDefault="00E1733C" w:rsidP="00EE039E">
            <w:pPr>
              <w:pStyle w:val="Tabellenanstrich"/>
              <w:numPr>
                <w:ilvl w:val="0"/>
                <w:numId w:val="0"/>
              </w:numPr>
              <w:tabs>
                <w:tab w:val="clear" w:pos="357"/>
              </w:tabs>
              <w:spacing w:before="120" w:after="120"/>
              <w:ind w:left="34" w:hanging="28"/>
            </w:pPr>
            <w:r w:rsidRPr="002A27B3">
              <w:t>Bezug zu grundlegenden Wissensbeständen:</w:t>
            </w:r>
          </w:p>
          <w:p w:rsidR="00E1733C" w:rsidRPr="002C0B90" w:rsidRDefault="00E1733C" w:rsidP="00E1733C">
            <w:pPr>
              <w:pStyle w:val="Tabellenanstrich"/>
              <w:numPr>
                <w:ilvl w:val="0"/>
                <w:numId w:val="8"/>
              </w:numPr>
              <w:spacing w:before="120" w:after="120"/>
            </w:pPr>
            <w:r>
              <w:t>Kreislauf des Lebens und Nirwana, Jüngstes Gericht und ewiges Leben</w:t>
            </w:r>
            <w:r w:rsidRPr="0004325D">
              <w:t xml:space="preserve"> </w:t>
            </w:r>
          </w:p>
        </w:tc>
      </w:tr>
    </w:tbl>
    <w:p w:rsidR="00E1733C" w:rsidRPr="002C0B90" w:rsidRDefault="00E1733C" w:rsidP="00E1733C"/>
    <w:p w:rsidR="00E1733C" w:rsidRDefault="00E1733C" w:rsidP="00E1733C">
      <w:pPr>
        <w:rPr>
          <w:b/>
        </w:rPr>
      </w:pPr>
      <w:r w:rsidRPr="00D9344A">
        <w:rPr>
          <w:b/>
        </w:rPr>
        <w:t>Anregungen und Hinwei</w:t>
      </w:r>
      <w:r>
        <w:rPr>
          <w:b/>
        </w:rPr>
        <w:t>se zum unterrichtlichen Einsatz</w:t>
      </w:r>
    </w:p>
    <w:p w:rsidR="00E1733C" w:rsidRDefault="00E1733C" w:rsidP="00EA3579">
      <w:pPr>
        <w:jc w:val="both"/>
      </w:pPr>
      <w:r>
        <w:t>Der Kurzfilm „One minute fly“ führt Schülerinnen und Schüler unmittelbar hinein in die Aus-einandersetzung mit der Endlichkeit der Existenz: In nur einer Minute will die Protagonistin des Films eine schier unerschöpfliche Liste von Dingen erledigen, welche jede Einminutenfliege vor ihrem Tod erlebt haben muss – ein verzweifeltes Ende ist ebenso unausweichlich wie … vorläufig: Zuletzt hängt der Erfolg ihres Bemühens nicht vom Engagement der Fliege selbst ab. In einem größeren Ganzen erhält sie die Bedeutung, die aus ihrer Sicht unerreichbar blieb.</w:t>
      </w:r>
    </w:p>
    <w:p w:rsidR="00E1733C" w:rsidRDefault="00E1733C" w:rsidP="00EA3579">
      <w:pPr>
        <w:jc w:val="both"/>
      </w:pPr>
      <w:r>
        <w:t>Schülerinnen und Schüler sind herausgefordert, den Film als Fabel zu sehen bzw. zu lesen, und das hektische Carpe diem des Films in Momenten des eigenen bzw. des gesellschaftli-chen Lebens zu identifizieren und mit Gegenentwürfen der Erlösungsreligionen (hier: Chris-tentum und Buddhismus) zu vergleichen.</w:t>
      </w:r>
    </w:p>
    <w:p w:rsidR="00E1733C" w:rsidRDefault="00E1733C" w:rsidP="00EA3579">
      <w:pPr>
        <w:jc w:val="both"/>
      </w:pPr>
      <w:r>
        <w:t xml:space="preserve">In der Erarbeitung kann der Wechsel von Einzel- und Gruppenarbeit die Ernsthaftigkeit und Subjektivität der Antworten ebenso sicherstellen wie deren Austausch und Konfrontation mit der provokanten These (hier: Manfred Lütz), ein Leben ohne religiöse Perspektive sei zu Atemlosigkeit und Hektik verdammt. </w:t>
      </w:r>
    </w:p>
    <w:p w:rsidR="00E1733C" w:rsidRDefault="00E1733C" w:rsidP="00EA3579">
      <w:pPr>
        <w:spacing w:line="240" w:lineRule="auto"/>
        <w:jc w:val="both"/>
      </w:pPr>
      <w:r>
        <w:t>Die Aufgabe ist für einen Zeitraum von vier Unterrichtsstunden konzipiert.</w:t>
      </w:r>
    </w:p>
    <w:p w:rsidR="00E1733C" w:rsidRDefault="00E1733C" w:rsidP="00E1733C">
      <w:pPr>
        <w:spacing w:before="120" w:line="240" w:lineRule="auto"/>
        <w:rPr>
          <w:b/>
        </w:rPr>
      </w:pPr>
    </w:p>
    <w:p w:rsidR="00E1733C" w:rsidRDefault="00E1733C" w:rsidP="00E1733C">
      <w:pPr>
        <w:spacing w:before="120" w:line="240" w:lineRule="auto"/>
        <w:rPr>
          <w:b/>
        </w:rPr>
      </w:pPr>
      <w:r w:rsidRPr="002A27B3">
        <w:rPr>
          <w:b/>
        </w:rPr>
        <w:t>Var</w:t>
      </w:r>
      <w:r>
        <w:rPr>
          <w:b/>
        </w:rPr>
        <w:t>iationsmöglichkeiten</w:t>
      </w:r>
    </w:p>
    <w:p w:rsidR="00E1733C" w:rsidRPr="002A27B3" w:rsidRDefault="00E1733C" w:rsidP="00E1733C">
      <w:pPr>
        <w:spacing w:before="120" w:line="240" w:lineRule="auto"/>
        <w:rPr>
          <w:b/>
        </w:rPr>
      </w:pPr>
    </w:p>
    <w:p w:rsidR="00E1733C" w:rsidRPr="00C56E49" w:rsidRDefault="00E1733C" w:rsidP="00E1733C">
      <w:pPr>
        <w:pBdr>
          <w:top w:val="nil"/>
          <w:left w:val="nil"/>
          <w:bottom w:val="nil"/>
          <w:right w:val="nil"/>
          <w:between w:val="nil"/>
          <w:bar w:val="nil"/>
        </w:pBdr>
        <w:spacing w:after="60" w:line="240" w:lineRule="auto"/>
        <w:rPr>
          <w:rFonts w:eastAsia="Arial Unicode MS" w:cs="Arial"/>
          <w:szCs w:val="20"/>
          <w:bdr w:val="nil"/>
        </w:rPr>
      </w:pPr>
      <w:r w:rsidRPr="00C56E49">
        <w:rPr>
          <w:rFonts w:eastAsia="Arial Unicode MS" w:cs="Arial"/>
          <w:szCs w:val="20"/>
          <w:bdr w:val="nil"/>
        </w:rPr>
        <w:t>Zur Vorbereitung, Vertiefung und Vernetzung:</w:t>
      </w:r>
    </w:p>
    <w:p w:rsidR="00E1733C" w:rsidRPr="00153035" w:rsidRDefault="00E1733C" w:rsidP="00E1733C">
      <w:pPr>
        <w:pStyle w:val="Listenabsatz"/>
        <w:numPr>
          <w:ilvl w:val="0"/>
          <w:numId w:val="8"/>
        </w:numPr>
        <w:pBdr>
          <w:top w:val="nil"/>
          <w:left w:val="nil"/>
          <w:bottom w:val="nil"/>
          <w:right w:val="nil"/>
          <w:between w:val="nil"/>
          <w:bar w:val="nil"/>
        </w:pBdr>
        <w:spacing w:line="276" w:lineRule="auto"/>
        <w:jc w:val="left"/>
      </w:pPr>
      <w:r w:rsidRPr="00153035">
        <w:t>Philosophisches Kopfkino</w:t>
      </w:r>
      <w:r>
        <w:t xml:space="preserve"> „Glaube“</w:t>
      </w:r>
      <w:r w:rsidRPr="00153035">
        <w:t xml:space="preserve"> (ZDF/3sat 2010; </w:t>
      </w:r>
      <w:hyperlink r:id="rId15" w:history="1">
        <w:r w:rsidRPr="00153035">
          <w:rPr>
            <w:rFonts w:eastAsia="Arial Unicode MS" w:cs="Arial"/>
            <w:color w:val="0000FF" w:themeColor="hyperlink"/>
            <w:sz w:val="20"/>
            <w:szCs w:val="20"/>
            <w:u w:val="single"/>
            <w:bdr w:val="nil"/>
            <w:lang w:eastAsia="en-US"/>
          </w:rPr>
          <w:t>http://www.3sat.de/page/?source=/philosophie/148960/index.html</w:t>
        </w:r>
      </w:hyperlink>
      <w:r w:rsidRPr="00153035">
        <w:t>)</w:t>
      </w:r>
    </w:p>
    <w:p w:rsidR="00E1733C" w:rsidRPr="00F467A3" w:rsidRDefault="00E1733C" w:rsidP="00E1733C">
      <w:pPr>
        <w:pStyle w:val="Listenabsatz"/>
        <w:numPr>
          <w:ilvl w:val="0"/>
          <w:numId w:val="8"/>
        </w:numPr>
        <w:pBdr>
          <w:top w:val="nil"/>
          <w:left w:val="nil"/>
          <w:bottom w:val="nil"/>
          <w:right w:val="nil"/>
          <w:between w:val="nil"/>
          <w:bar w:val="nil"/>
        </w:pBdr>
        <w:spacing w:line="276" w:lineRule="auto"/>
        <w:jc w:val="left"/>
        <w:rPr>
          <w:rFonts w:eastAsia="Arial Unicode MS" w:cs="Arial"/>
          <w:szCs w:val="20"/>
          <w:bdr w:val="nil"/>
          <w:lang w:eastAsia="en-US"/>
        </w:rPr>
      </w:pPr>
      <w:r>
        <w:t>„Was glaubst du denn?“ (</w:t>
      </w:r>
      <w:r w:rsidRPr="00153035">
        <w:rPr>
          <w:rFonts w:eastAsia="Arial Unicode MS" w:cs="Arial"/>
          <w:szCs w:val="20"/>
          <w:bdr w:val="nil"/>
          <w:lang w:eastAsia="en-US"/>
        </w:rPr>
        <w:t>Hessischer Rundfunk, 2013</w:t>
      </w:r>
      <w:r>
        <w:rPr>
          <w:rFonts w:eastAsia="Arial Unicode MS" w:cs="Arial"/>
          <w:szCs w:val="20"/>
          <w:bdr w:val="nil"/>
          <w:lang w:eastAsia="en-US"/>
        </w:rPr>
        <w:t xml:space="preserve">; </w:t>
      </w:r>
      <w:hyperlink r:id="rId16" w:history="1">
        <w:r w:rsidRPr="00F467A3">
          <w:rPr>
            <w:rFonts w:eastAsia="Arial Unicode MS" w:cs="Arial"/>
            <w:color w:val="0000FF" w:themeColor="hyperlink"/>
            <w:sz w:val="20"/>
            <w:szCs w:val="20"/>
            <w:u w:val="single"/>
            <w:bdr w:val="nil"/>
            <w:lang w:eastAsia="en-US"/>
          </w:rPr>
          <w:t>www.kinderfunkkolleg-trialog.de</w:t>
        </w:r>
      </w:hyperlink>
      <w:r w:rsidRPr="00240CC7">
        <w:t>)</w:t>
      </w:r>
    </w:p>
    <w:p w:rsidR="00E1733C" w:rsidRDefault="00E1733C" w:rsidP="00E1733C">
      <w:pPr>
        <w:pStyle w:val="Listenabsatz"/>
        <w:numPr>
          <w:ilvl w:val="0"/>
          <w:numId w:val="8"/>
        </w:numPr>
        <w:pBdr>
          <w:top w:val="nil"/>
          <w:left w:val="nil"/>
          <w:bottom w:val="nil"/>
          <w:right w:val="nil"/>
          <w:between w:val="nil"/>
          <w:bar w:val="nil"/>
        </w:pBdr>
        <w:spacing w:line="276" w:lineRule="auto"/>
        <w:jc w:val="left"/>
        <w:rPr>
          <w:rFonts w:eastAsia="Arial Unicode MS" w:cs="Arial"/>
          <w:szCs w:val="20"/>
          <w:bdr w:val="nil"/>
          <w:lang w:eastAsia="en-US"/>
        </w:rPr>
      </w:pPr>
      <w:r w:rsidRPr="00F467A3">
        <w:rPr>
          <w:rFonts w:eastAsia="Arial Unicode MS" w:cs="Arial"/>
          <w:szCs w:val="20"/>
          <w:bdr w:val="nil"/>
          <w:lang w:eastAsia="en-US"/>
        </w:rPr>
        <w:t xml:space="preserve">Video </w:t>
      </w:r>
      <w:r>
        <w:rPr>
          <w:rFonts w:eastAsia="Arial Unicode MS" w:cs="Arial"/>
          <w:szCs w:val="20"/>
          <w:bdr w:val="nil"/>
          <w:lang w:eastAsia="en-US"/>
        </w:rPr>
        <w:t>„</w:t>
      </w:r>
      <w:r w:rsidRPr="00F467A3">
        <w:rPr>
          <w:rFonts w:eastAsia="Arial Unicode MS" w:cs="Arial"/>
          <w:szCs w:val="20"/>
          <w:bdr w:val="nil"/>
          <w:lang w:eastAsia="en-US"/>
        </w:rPr>
        <w:t>Erlösung</w:t>
      </w:r>
      <w:r>
        <w:rPr>
          <w:rFonts w:eastAsia="Arial Unicode MS" w:cs="Arial"/>
          <w:szCs w:val="20"/>
          <w:bdr w:val="nil"/>
          <w:lang w:eastAsia="en-US"/>
        </w:rPr>
        <w:t>“</w:t>
      </w:r>
      <w:r w:rsidRPr="00F467A3">
        <w:rPr>
          <w:rFonts w:eastAsia="Arial Unicode MS" w:cs="Arial"/>
          <w:szCs w:val="20"/>
          <w:bdr w:val="nil"/>
          <w:lang w:eastAsia="en-US"/>
        </w:rPr>
        <w:t xml:space="preserve"> („e-wie-evangelisch.de“</w:t>
      </w:r>
      <w:r>
        <w:rPr>
          <w:rFonts w:eastAsia="Arial Unicode MS" w:cs="Arial"/>
          <w:szCs w:val="20"/>
          <w:bdr w:val="nil"/>
          <w:lang w:eastAsia="en-US"/>
        </w:rPr>
        <w:t>;</w:t>
      </w:r>
      <w:r w:rsidRPr="00F467A3">
        <w:t xml:space="preserve"> </w:t>
      </w:r>
      <w:hyperlink r:id="rId17" w:history="1">
        <w:r w:rsidRPr="00F467A3">
          <w:rPr>
            <w:rFonts w:eastAsia="Arial Unicode MS" w:cs="Arial"/>
            <w:color w:val="0000FF" w:themeColor="hyperlink"/>
            <w:sz w:val="20"/>
            <w:szCs w:val="20"/>
            <w:u w:val="single"/>
            <w:bdr w:val="nil"/>
            <w:lang w:eastAsia="en-US"/>
          </w:rPr>
          <w:t>http://juki.de/videos/678-e-wie-evangelisch-die-erlosung?autoplay=true</w:t>
        </w:r>
      </w:hyperlink>
      <w:r w:rsidRPr="00F467A3">
        <w:rPr>
          <w:rFonts w:eastAsia="Arial Unicode MS" w:cs="Arial"/>
          <w:sz w:val="20"/>
          <w:szCs w:val="20"/>
          <w:bdr w:val="nil"/>
          <w:lang w:eastAsia="en-US"/>
        </w:rPr>
        <w:t xml:space="preserve">; </w:t>
      </w:r>
      <w:hyperlink r:id="rId18" w:history="1">
        <w:r w:rsidRPr="00F467A3">
          <w:rPr>
            <w:rFonts w:eastAsia="Arial Unicode MS" w:cs="Arial"/>
            <w:color w:val="0000FF" w:themeColor="hyperlink"/>
            <w:sz w:val="20"/>
            <w:szCs w:val="20"/>
            <w:u w:val="single"/>
            <w:bdr w:val="nil"/>
            <w:lang w:eastAsia="en-US"/>
          </w:rPr>
          <w:t>http://www.e-erloesung.de/</w:t>
        </w:r>
      </w:hyperlink>
      <w:r w:rsidRPr="00F467A3">
        <w:rPr>
          <w:rFonts w:eastAsia="Arial Unicode MS" w:cs="Arial"/>
          <w:szCs w:val="20"/>
          <w:bdr w:val="nil"/>
          <w:lang w:eastAsia="en-US"/>
        </w:rPr>
        <w:t>)</w:t>
      </w:r>
    </w:p>
    <w:p w:rsidR="00E1733C" w:rsidRPr="00F467A3" w:rsidRDefault="00E1733C" w:rsidP="00E1733C">
      <w:pPr>
        <w:pStyle w:val="Listenabsatz"/>
        <w:numPr>
          <w:ilvl w:val="0"/>
          <w:numId w:val="8"/>
        </w:numPr>
        <w:pBdr>
          <w:top w:val="nil"/>
          <w:left w:val="nil"/>
          <w:bottom w:val="nil"/>
          <w:right w:val="nil"/>
          <w:between w:val="nil"/>
          <w:bar w:val="nil"/>
        </w:pBdr>
        <w:spacing w:line="276" w:lineRule="auto"/>
        <w:jc w:val="left"/>
        <w:rPr>
          <w:rFonts w:eastAsia="Arial Unicode MS" w:cs="Arial"/>
          <w:szCs w:val="20"/>
          <w:bdr w:val="nil"/>
          <w:lang w:eastAsia="en-US"/>
        </w:rPr>
      </w:pPr>
      <w:r w:rsidRPr="00153035">
        <w:rPr>
          <w:rFonts w:eastAsia="Arial Unicode MS" w:cs="Arial"/>
          <w:szCs w:val="20"/>
          <w:bdr w:val="nil"/>
          <w:lang w:eastAsia="en-US"/>
        </w:rPr>
        <w:t xml:space="preserve">Andrea Liebers: </w:t>
      </w:r>
      <w:r>
        <w:rPr>
          <w:rFonts w:eastAsia="Arial Unicode MS" w:cs="Arial"/>
          <w:szCs w:val="20"/>
          <w:bdr w:val="nil"/>
          <w:lang w:eastAsia="en-US"/>
        </w:rPr>
        <w:t>„</w:t>
      </w:r>
      <w:r w:rsidRPr="00153035">
        <w:rPr>
          <w:rFonts w:eastAsia="Arial Unicode MS" w:cs="Arial"/>
          <w:szCs w:val="20"/>
          <w:bdr w:val="nil"/>
          <w:lang w:eastAsia="en-US"/>
        </w:rPr>
        <w:t>Buddhismus für Teens</w:t>
      </w:r>
      <w:r>
        <w:rPr>
          <w:rFonts w:eastAsia="Arial Unicode MS" w:cs="Arial"/>
          <w:szCs w:val="20"/>
          <w:bdr w:val="nil"/>
          <w:lang w:eastAsia="en-US"/>
        </w:rPr>
        <w:t>“</w:t>
      </w:r>
      <w:r w:rsidRPr="00153035">
        <w:rPr>
          <w:rFonts w:eastAsia="Arial Unicode MS" w:cs="Arial"/>
          <w:szCs w:val="20"/>
          <w:bdr w:val="nil"/>
          <w:lang w:eastAsia="en-US"/>
        </w:rPr>
        <w:t xml:space="preserve"> </w:t>
      </w:r>
      <w:r>
        <w:rPr>
          <w:rFonts w:eastAsia="Arial Unicode MS" w:cs="Arial"/>
          <w:sz w:val="24"/>
          <w:szCs w:val="20"/>
          <w:bdr w:val="nil"/>
          <w:lang w:eastAsia="en-US"/>
        </w:rPr>
        <w:t>(</w:t>
      </w:r>
      <w:hyperlink r:id="rId19" w:history="1">
        <w:r w:rsidRPr="005C1200">
          <w:rPr>
            <w:rStyle w:val="Hyperlink"/>
            <w:rFonts w:eastAsia="Arial Unicode MS" w:cs="Arial"/>
            <w:bdr w:val="nil"/>
            <w:lang w:eastAsia="en-US"/>
          </w:rPr>
          <w:t>http://www.buddhateens.org/erlosung-vom-leiden/</w:t>
        </w:r>
      </w:hyperlink>
      <w:r w:rsidRPr="00F33D9F">
        <w:rPr>
          <w:rFonts w:eastAsia="Arial Unicode MS" w:cs="Arial"/>
          <w:szCs w:val="20"/>
          <w:bdr w:val="nil"/>
          <w:lang w:eastAsia="en-US"/>
        </w:rPr>
        <w:t>)</w:t>
      </w:r>
    </w:p>
    <w:p w:rsidR="00E1733C" w:rsidRPr="005A11B4" w:rsidRDefault="00E1733C" w:rsidP="00E1733C">
      <w:pPr>
        <w:rPr>
          <w:b/>
        </w:rPr>
      </w:pPr>
      <w:r>
        <w:rPr>
          <w:b/>
        </w:rPr>
        <w:lastRenderedPageBreak/>
        <w:t>Erwarteter Stand der Kompetenzentwicklung</w:t>
      </w:r>
    </w:p>
    <w:tbl>
      <w:tblPr>
        <w:tblW w:w="9498"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7654"/>
        <w:gridCol w:w="709"/>
      </w:tblGrid>
      <w:tr w:rsidR="00E1733C" w:rsidRPr="00D9344A" w:rsidTr="00EE039E">
        <w:trPr>
          <w:trHeight w:val="405"/>
        </w:trPr>
        <w:tc>
          <w:tcPr>
            <w:tcW w:w="1135" w:type="dxa"/>
            <w:tcBorders>
              <w:top w:val="single" w:sz="8" w:space="0" w:color="000000"/>
              <w:bottom w:val="single" w:sz="8" w:space="0" w:color="000000"/>
              <w:right w:val="single" w:sz="8" w:space="0" w:color="000000"/>
            </w:tcBorders>
            <w:shd w:val="clear" w:color="auto" w:fill="E0E0E0"/>
          </w:tcPr>
          <w:p w:rsidR="00E1733C" w:rsidRPr="00D9344A" w:rsidRDefault="00E1733C" w:rsidP="00EE039E">
            <w:pPr>
              <w:spacing w:before="120" w:after="120" w:line="240" w:lineRule="auto"/>
              <w:rPr>
                <w:b/>
              </w:rPr>
            </w:pPr>
            <w:r w:rsidRPr="00D9344A">
              <w:rPr>
                <w:b/>
              </w:rPr>
              <w:t xml:space="preserve">Aufgabe </w:t>
            </w:r>
          </w:p>
        </w:tc>
        <w:tc>
          <w:tcPr>
            <w:tcW w:w="7654" w:type="dxa"/>
            <w:tcBorders>
              <w:top w:val="single" w:sz="8" w:space="0" w:color="000000"/>
              <w:left w:val="single" w:sz="8" w:space="0" w:color="000000"/>
              <w:bottom w:val="single" w:sz="8" w:space="0" w:color="000000"/>
              <w:right w:val="single" w:sz="8" w:space="0" w:color="000000"/>
            </w:tcBorders>
            <w:shd w:val="clear" w:color="auto" w:fill="E0E0E0"/>
          </w:tcPr>
          <w:p w:rsidR="00E1733C" w:rsidRPr="00D9344A" w:rsidRDefault="00E1733C" w:rsidP="00EE039E">
            <w:pPr>
              <w:spacing w:before="120" w:after="120" w:line="240" w:lineRule="auto"/>
              <w:rPr>
                <w:b/>
              </w:rPr>
            </w:pPr>
            <w:r>
              <w:rPr>
                <w:b/>
              </w:rPr>
              <w:t>e</w:t>
            </w:r>
            <w:r w:rsidRPr="00D9344A">
              <w:rPr>
                <w:b/>
              </w:rPr>
              <w:t xml:space="preserve">rwartete Schülerleistung </w:t>
            </w:r>
          </w:p>
        </w:tc>
        <w:tc>
          <w:tcPr>
            <w:tcW w:w="709" w:type="dxa"/>
            <w:tcBorders>
              <w:top w:val="single" w:sz="8" w:space="0" w:color="000000"/>
              <w:left w:val="single" w:sz="8" w:space="0" w:color="000000"/>
              <w:bottom w:val="single" w:sz="8" w:space="0" w:color="000000"/>
            </w:tcBorders>
            <w:shd w:val="clear" w:color="auto" w:fill="E0E0E0"/>
          </w:tcPr>
          <w:p w:rsidR="00E1733C" w:rsidRPr="00D9344A" w:rsidRDefault="00E1733C" w:rsidP="00EE039E">
            <w:pPr>
              <w:spacing w:before="120" w:after="120" w:line="240" w:lineRule="auto"/>
              <w:jc w:val="center"/>
              <w:rPr>
                <w:b/>
              </w:rPr>
            </w:pPr>
            <w:r w:rsidRPr="00D9344A">
              <w:rPr>
                <w:b/>
              </w:rPr>
              <w:t>AFB</w:t>
            </w:r>
          </w:p>
        </w:tc>
      </w:tr>
      <w:tr w:rsidR="00E1733C" w:rsidRPr="002C0B90" w:rsidTr="00EE039E">
        <w:trPr>
          <w:trHeight w:val="484"/>
        </w:trPr>
        <w:tc>
          <w:tcPr>
            <w:tcW w:w="1135" w:type="dxa"/>
            <w:tcBorders>
              <w:top w:val="single" w:sz="8" w:space="0" w:color="000000"/>
              <w:bottom w:val="single" w:sz="8" w:space="0" w:color="000000"/>
              <w:right w:val="single" w:sz="8" w:space="0" w:color="000000"/>
            </w:tcBorders>
          </w:tcPr>
          <w:p w:rsidR="00E1733C" w:rsidRPr="002C0B90" w:rsidRDefault="00E1733C" w:rsidP="00EE039E">
            <w:pPr>
              <w:spacing w:before="120" w:after="120" w:line="240" w:lineRule="auto"/>
            </w:pPr>
            <w:r w:rsidRPr="002C0B90">
              <w:t xml:space="preserve">1. </w:t>
            </w:r>
          </w:p>
        </w:tc>
        <w:tc>
          <w:tcPr>
            <w:tcW w:w="7654" w:type="dxa"/>
            <w:tcBorders>
              <w:top w:val="single" w:sz="8" w:space="0" w:color="000000"/>
              <w:left w:val="single" w:sz="8" w:space="0" w:color="000000"/>
              <w:bottom w:val="single" w:sz="8" w:space="0" w:color="000000"/>
              <w:right w:val="single" w:sz="8" w:space="0" w:color="000000"/>
            </w:tcBorders>
          </w:tcPr>
          <w:p w:rsidR="00E1733C" w:rsidRDefault="00E1733C" w:rsidP="00EE039E">
            <w:pPr>
              <w:pStyle w:val="Tabellenanstrich"/>
              <w:numPr>
                <w:ilvl w:val="0"/>
                <w:numId w:val="0"/>
              </w:numPr>
              <w:spacing w:before="120" w:after="120"/>
            </w:pPr>
            <w:r>
              <w:t>Die Schülerinnen und Schüler können</w:t>
            </w:r>
          </w:p>
          <w:p w:rsidR="00E1733C" w:rsidRPr="002C0B90" w:rsidRDefault="00E1733C" w:rsidP="00EE039E">
            <w:pPr>
              <w:pStyle w:val="Tabellenanstrich"/>
              <w:spacing w:after="60"/>
            </w:pPr>
            <w:r w:rsidRPr="00AB0F00">
              <w:t xml:space="preserve">Angebote zur Lebensführung </w:t>
            </w:r>
            <w:r>
              <w:t>vor dem Hintergrund eigener Vor</w:t>
            </w:r>
            <w:r w:rsidRPr="00AB0F00">
              <w:t>stellungen von einem gelingenden Leben bewerten</w:t>
            </w:r>
          </w:p>
        </w:tc>
        <w:tc>
          <w:tcPr>
            <w:tcW w:w="709" w:type="dxa"/>
            <w:tcBorders>
              <w:top w:val="single" w:sz="8" w:space="0" w:color="000000"/>
              <w:left w:val="single" w:sz="8" w:space="0" w:color="000000"/>
              <w:bottom w:val="single" w:sz="8" w:space="0" w:color="000000"/>
            </w:tcBorders>
          </w:tcPr>
          <w:p w:rsidR="00E1733C" w:rsidRPr="002C0B90" w:rsidRDefault="00E1733C" w:rsidP="00EE039E">
            <w:pPr>
              <w:spacing w:before="120" w:after="120" w:line="240" w:lineRule="auto"/>
              <w:jc w:val="center"/>
            </w:pPr>
            <w:r>
              <w:t>III</w:t>
            </w:r>
          </w:p>
        </w:tc>
      </w:tr>
      <w:tr w:rsidR="00E1733C" w:rsidRPr="002C0B90" w:rsidTr="00EE039E">
        <w:trPr>
          <w:trHeight w:val="398"/>
        </w:trPr>
        <w:tc>
          <w:tcPr>
            <w:tcW w:w="1135" w:type="dxa"/>
            <w:tcBorders>
              <w:top w:val="single" w:sz="8" w:space="0" w:color="000000"/>
              <w:bottom w:val="single" w:sz="8" w:space="0" w:color="000000"/>
              <w:right w:val="single" w:sz="8" w:space="0" w:color="000000"/>
            </w:tcBorders>
          </w:tcPr>
          <w:p w:rsidR="00E1733C" w:rsidRPr="002C0B90" w:rsidRDefault="00E1733C" w:rsidP="00EE039E">
            <w:pPr>
              <w:spacing w:before="120" w:after="120" w:line="240" w:lineRule="auto"/>
            </w:pPr>
            <w:r w:rsidRPr="002C0B90">
              <w:t xml:space="preserve">2. </w:t>
            </w:r>
          </w:p>
        </w:tc>
        <w:tc>
          <w:tcPr>
            <w:tcW w:w="7654" w:type="dxa"/>
            <w:tcBorders>
              <w:top w:val="single" w:sz="8" w:space="0" w:color="000000"/>
              <w:left w:val="single" w:sz="8" w:space="0" w:color="000000"/>
              <w:bottom w:val="single" w:sz="8" w:space="0" w:color="000000"/>
              <w:right w:val="single" w:sz="8" w:space="0" w:color="000000"/>
            </w:tcBorders>
          </w:tcPr>
          <w:p w:rsidR="00E1733C" w:rsidRDefault="00E1733C" w:rsidP="00EE039E">
            <w:pPr>
              <w:pStyle w:val="Tabellenanstrich"/>
              <w:numPr>
                <w:ilvl w:val="0"/>
                <w:numId w:val="0"/>
              </w:numPr>
              <w:spacing w:before="120" w:after="120"/>
            </w:pPr>
            <w:r>
              <w:t>Die Schülerinnen und Schüler können</w:t>
            </w:r>
          </w:p>
          <w:p w:rsidR="00E1733C" w:rsidRPr="00137BC3" w:rsidRDefault="00E1733C" w:rsidP="00EE039E">
            <w:pPr>
              <w:pStyle w:val="Tabellenanstrich"/>
              <w:spacing w:after="60"/>
            </w:pPr>
            <w:r w:rsidRPr="00AB0F00">
              <w:t>einen Kurzfilm als Beitrag zu e</w:t>
            </w:r>
            <w:r>
              <w:t>inem philosophischen Problem in</w:t>
            </w:r>
            <w:r w:rsidRPr="00AB0F00">
              <w:t>terpretieren</w:t>
            </w:r>
          </w:p>
        </w:tc>
        <w:tc>
          <w:tcPr>
            <w:tcW w:w="709" w:type="dxa"/>
            <w:tcBorders>
              <w:top w:val="single" w:sz="8" w:space="0" w:color="000000"/>
              <w:left w:val="single" w:sz="8" w:space="0" w:color="000000"/>
              <w:bottom w:val="single" w:sz="8" w:space="0" w:color="000000"/>
            </w:tcBorders>
          </w:tcPr>
          <w:p w:rsidR="00E1733C" w:rsidRPr="002C0B90" w:rsidRDefault="00E1733C" w:rsidP="00EE039E">
            <w:pPr>
              <w:spacing w:before="120" w:after="120" w:line="240" w:lineRule="auto"/>
              <w:jc w:val="center"/>
            </w:pPr>
            <w:r>
              <w:t>II</w:t>
            </w:r>
          </w:p>
        </w:tc>
      </w:tr>
      <w:tr w:rsidR="00E1733C" w:rsidRPr="002C0B90" w:rsidTr="00EE039E">
        <w:trPr>
          <w:trHeight w:val="398"/>
        </w:trPr>
        <w:tc>
          <w:tcPr>
            <w:tcW w:w="1135" w:type="dxa"/>
            <w:tcBorders>
              <w:top w:val="single" w:sz="8" w:space="0" w:color="000000"/>
              <w:bottom w:val="single" w:sz="8" w:space="0" w:color="000000"/>
              <w:right w:val="single" w:sz="8" w:space="0" w:color="000000"/>
            </w:tcBorders>
          </w:tcPr>
          <w:p w:rsidR="00E1733C" w:rsidRPr="002C0B90" w:rsidRDefault="00E1733C" w:rsidP="00EE039E">
            <w:pPr>
              <w:spacing w:before="120" w:after="120" w:line="240" w:lineRule="auto"/>
            </w:pPr>
            <w:r>
              <w:t>3.</w:t>
            </w:r>
          </w:p>
        </w:tc>
        <w:tc>
          <w:tcPr>
            <w:tcW w:w="7654" w:type="dxa"/>
            <w:tcBorders>
              <w:top w:val="single" w:sz="8" w:space="0" w:color="000000"/>
              <w:left w:val="single" w:sz="8" w:space="0" w:color="000000"/>
              <w:bottom w:val="single" w:sz="8" w:space="0" w:color="000000"/>
              <w:right w:val="single" w:sz="8" w:space="0" w:color="000000"/>
            </w:tcBorders>
          </w:tcPr>
          <w:p w:rsidR="00E1733C" w:rsidRDefault="00E1733C" w:rsidP="00EE039E">
            <w:pPr>
              <w:pStyle w:val="Tabellenanstrich"/>
              <w:numPr>
                <w:ilvl w:val="0"/>
                <w:numId w:val="0"/>
              </w:numPr>
              <w:spacing w:before="120" w:after="120"/>
            </w:pPr>
            <w:r>
              <w:t>Die Schülerinnen und Schüler können</w:t>
            </w:r>
          </w:p>
          <w:p w:rsidR="00E1733C" w:rsidRPr="00AB0F00" w:rsidRDefault="00E1733C" w:rsidP="00EE039E">
            <w:pPr>
              <w:pStyle w:val="Tabellenanstrich"/>
              <w:spacing w:after="60"/>
            </w:pPr>
            <w:r w:rsidRPr="00AB0F00">
              <w:t>eigene Ideen zu Sinnstiftung und Erlösung entwerfen</w:t>
            </w:r>
          </w:p>
        </w:tc>
        <w:tc>
          <w:tcPr>
            <w:tcW w:w="709" w:type="dxa"/>
            <w:tcBorders>
              <w:top w:val="single" w:sz="8" w:space="0" w:color="000000"/>
              <w:left w:val="single" w:sz="8" w:space="0" w:color="000000"/>
              <w:bottom w:val="single" w:sz="8" w:space="0" w:color="000000"/>
            </w:tcBorders>
          </w:tcPr>
          <w:p w:rsidR="00E1733C" w:rsidRPr="002C0B90" w:rsidRDefault="00E1733C" w:rsidP="00EE039E">
            <w:pPr>
              <w:spacing w:before="120" w:after="120" w:line="240" w:lineRule="auto"/>
              <w:jc w:val="center"/>
            </w:pPr>
            <w:r>
              <w:t>III</w:t>
            </w:r>
          </w:p>
        </w:tc>
      </w:tr>
      <w:tr w:rsidR="00E1733C" w:rsidRPr="002C0B90" w:rsidTr="00EE039E">
        <w:trPr>
          <w:trHeight w:val="398"/>
        </w:trPr>
        <w:tc>
          <w:tcPr>
            <w:tcW w:w="1135" w:type="dxa"/>
            <w:tcBorders>
              <w:top w:val="single" w:sz="8" w:space="0" w:color="000000"/>
              <w:bottom w:val="single" w:sz="8" w:space="0" w:color="000000"/>
              <w:right w:val="single" w:sz="8" w:space="0" w:color="000000"/>
            </w:tcBorders>
          </w:tcPr>
          <w:p w:rsidR="00E1733C" w:rsidRDefault="00E1733C" w:rsidP="00EE039E">
            <w:pPr>
              <w:spacing w:before="120" w:after="120" w:line="240" w:lineRule="auto"/>
            </w:pPr>
            <w:r>
              <w:t>4.</w:t>
            </w:r>
          </w:p>
        </w:tc>
        <w:tc>
          <w:tcPr>
            <w:tcW w:w="7654" w:type="dxa"/>
            <w:tcBorders>
              <w:top w:val="single" w:sz="8" w:space="0" w:color="000000"/>
              <w:left w:val="single" w:sz="8" w:space="0" w:color="000000"/>
              <w:bottom w:val="single" w:sz="8" w:space="0" w:color="000000"/>
              <w:right w:val="single" w:sz="8" w:space="0" w:color="000000"/>
            </w:tcBorders>
          </w:tcPr>
          <w:p w:rsidR="00E1733C" w:rsidRDefault="00E1733C" w:rsidP="00EE039E">
            <w:pPr>
              <w:pStyle w:val="Tabellenanstrich"/>
              <w:numPr>
                <w:ilvl w:val="0"/>
                <w:numId w:val="0"/>
              </w:numPr>
              <w:spacing w:before="120" w:after="120"/>
            </w:pPr>
            <w:r>
              <w:t>Die Schülerinnen und Schüler können</w:t>
            </w:r>
          </w:p>
          <w:p w:rsidR="00E1733C" w:rsidRDefault="00E1733C" w:rsidP="00EE039E">
            <w:pPr>
              <w:pStyle w:val="Tabellenanstrich"/>
              <w:spacing w:after="60"/>
            </w:pPr>
            <w:r>
              <w:t>religiöse und säkulare Entwürfe eines sinnvollen und geglückten Lebens vergleichen</w:t>
            </w:r>
          </w:p>
        </w:tc>
        <w:tc>
          <w:tcPr>
            <w:tcW w:w="709" w:type="dxa"/>
            <w:tcBorders>
              <w:top w:val="single" w:sz="8" w:space="0" w:color="000000"/>
              <w:left w:val="single" w:sz="8" w:space="0" w:color="000000"/>
              <w:bottom w:val="single" w:sz="8" w:space="0" w:color="000000"/>
            </w:tcBorders>
          </w:tcPr>
          <w:p w:rsidR="00E1733C" w:rsidRPr="002C0B90" w:rsidRDefault="00E1733C" w:rsidP="00EE039E">
            <w:pPr>
              <w:spacing w:before="120" w:after="120" w:line="240" w:lineRule="auto"/>
              <w:jc w:val="center"/>
            </w:pPr>
            <w:r>
              <w:t>II</w:t>
            </w:r>
          </w:p>
        </w:tc>
      </w:tr>
      <w:tr w:rsidR="00E1733C" w:rsidRPr="002C0B90" w:rsidTr="00EE039E">
        <w:trPr>
          <w:trHeight w:val="398"/>
        </w:trPr>
        <w:tc>
          <w:tcPr>
            <w:tcW w:w="1135" w:type="dxa"/>
            <w:tcBorders>
              <w:top w:val="single" w:sz="8" w:space="0" w:color="000000"/>
              <w:bottom w:val="single" w:sz="8" w:space="0" w:color="000000"/>
              <w:right w:val="single" w:sz="8" w:space="0" w:color="000000"/>
            </w:tcBorders>
          </w:tcPr>
          <w:p w:rsidR="00E1733C" w:rsidRDefault="00E1733C" w:rsidP="00EE039E">
            <w:pPr>
              <w:spacing w:before="120" w:after="120" w:line="240" w:lineRule="auto"/>
            </w:pPr>
            <w:r>
              <w:t>5.</w:t>
            </w:r>
          </w:p>
        </w:tc>
        <w:tc>
          <w:tcPr>
            <w:tcW w:w="7654" w:type="dxa"/>
            <w:tcBorders>
              <w:top w:val="single" w:sz="8" w:space="0" w:color="000000"/>
              <w:left w:val="single" w:sz="8" w:space="0" w:color="000000"/>
              <w:bottom w:val="single" w:sz="8" w:space="0" w:color="000000"/>
              <w:right w:val="single" w:sz="8" w:space="0" w:color="000000"/>
            </w:tcBorders>
          </w:tcPr>
          <w:p w:rsidR="00E1733C" w:rsidRDefault="00E1733C" w:rsidP="00EE039E">
            <w:pPr>
              <w:pStyle w:val="Tabellenanstrich"/>
              <w:numPr>
                <w:ilvl w:val="0"/>
                <w:numId w:val="0"/>
              </w:numPr>
              <w:spacing w:before="120" w:after="120"/>
            </w:pPr>
            <w:r>
              <w:t>Die Schülerinnen und Schüler können</w:t>
            </w:r>
          </w:p>
          <w:p w:rsidR="00E1733C" w:rsidRDefault="00E1733C" w:rsidP="00EE039E">
            <w:pPr>
              <w:pStyle w:val="Tabellenanstrich"/>
              <w:spacing w:after="60"/>
            </w:pPr>
            <w:r>
              <w:t>zur Frage nach dem Sinn des Lebens angesichts seiner Endlichkeit Stellung nehmen</w:t>
            </w:r>
          </w:p>
        </w:tc>
        <w:tc>
          <w:tcPr>
            <w:tcW w:w="709" w:type="dxa"/>
            <w:tcBorders>
              <w:top w:val="single" w:sz="8" w:space="0" w:color="000000"/>
              <w:left w:val="single" w:sz="8" w:space="0" w:color="000000"/>
              <w:bottom w:val="single" w:sz="8" w:space="0" w:color="000000"/>
            </w:tcBorders>
          </w:tcPr>
          <w:p w:rsidR="00E1733C" w:rsidRPr="002C0B90" w:rsidRDefault="00E1733C" w:rsidP="00EE039E">
            <w:pPr>
              <w:spacing w:before="120" w:after="120" w:line="240" w:lineRule="auto"/>
              <w:jc w:val="center"/>
            </w:pPr>
            <w:r>
              <w:t>III</w:t>
            </w:r>
          </w:p>
        </w:tc>
      </w:tr>
    </w:tbl>
    <w:p w:rsidR="00743B91" w:rsidRDefault="00743B91" w:rsidP="00332640">
      <w:pPr>
        <w:spacing w:line="240" w:lineRule="auto"/>
        <w:rPr>
          <w:rFonts w:eastAsiaTheme="majorEastAsia" w:cstheme="majorBidi"/>
          <w:b/>
          <w:bCs/>
          <w:color w:val="000000" w:themeColor="text1"/>
          <w:sz w:val="26"/>
        </w:rPr>
      </w:pPr>
    </w:p>
    <w:sectPr w:rsidR="00743B91">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CD5C0A"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CD5C0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 w:id="1">
    <w:p w:rsidR="00E1733C" w:rsidRPr="00F467A3" w:rsidRDefault="00E1733C" w:rsidP="00E1733C">
      <w:pPr>
        <w:pStyle w:val="Funotentext"/>
        <w:ind w:left="142" w:hanging="142"/>
        <w:rPr>
          <w:rFonts w:cs="Arial"/>
        </w:rPr>
      </w:pPr>
      <w:r w:rsidRPr="00F467A3">
        <w:rPr>
          <w:rStyle w:val="Funotenzeichen"/>
          <w:rFonts w:cs="Arial"/>
        </w:rPr>
        <w:footnoteRef/>
      </w:r>
      <w:r w:rsidRPr="00F467A3">
        <w:rPr>
          <w:rFonts w:cs="Arial"/>
        </w:rPr>
        <w:t xml:space="preserve"> „Der Gesundheitswahn ist die neue Religion“ (Die Welt vom 18.12.2011; </w:t>
      </w:r>
      <w:hyperlink r:id="rId1" w:history="1">
        <w:r w:rsidRPr="00B0170B">
          <w:rPr>
            <w:rStyle w:val="Hyperlink"/>
            <w:rFonts w:ascii="Arial" w:hAnsi="Arial" w:cs="Arial"/>
          </w:rPr>
          <w:t>http://www.welt.de/gesundheit/psychologie/article13770583/Der-Gesundheitswahn-ist-die-neue-Religion.html</w:t>
        </w:r>
      </w:hyperlink>
      <w:r w:rsidRPr="00F467A3">
        <w:rPr>
          <w:rFonts w:cs="Arial"/>
        </w:rPr>
        <w:t>).</w:t>
      </w:r>
    </w:p>
    <w:p w:rsidR="00E1733C" w:rsidRDefault="00E1733C" w:rsidP="00E1733C">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5DF"/>
    <w:multiLevelType w:val="hybridMultilevel"/>
    <w:tmpl w:val="4A48F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outline w:val="0"/>
        <w:shadow w:val="0"/>
        <w:emboss w:val="0"/>
        <w:imprint w:val="0"/>
        <w:vanish w:val="0"/>
        <w:color w:val="auto"/>
        <w:sz w:val="22"/>
        <w:szCs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FE6E30"/>
    <w:multiLevelType w:val="hybridMultilevel"/>
    <w:tmpl w:val="4ECC5F76"/>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7"/>
  </w:num>
  <w:num w:numId="5">
    <w:abstractNumId w:val="2"/>
  </w:num>
  <w:num w:numId="6">
    <w:abstractNumId w:val="8"/>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61628"/>
    <w:rsid w:val="00191E1E"/>
    <w:rsid w:val="001B55C9"/>
    <w:rsid w:val="00332640"/>
    <w:rsid w:val="003515B7"/>
    <w:rsid w:val="00390F1E"/>
    <w:rsid w:val="005365DA"/>
    <w:rsid w:val="00653A8E"/>
    <w:rsid w:val="006B7024"/>
    <w:rsid w:val="00743B91"/>
    <w:rsid w:val="0075178A"/>
    <w:rsid w:val="00825F8C"/>
    <w:rsid w:val="008370FE"/>
    <w:rsid w:val="0088611F"/>
    <w:rsid w:val="00922001"/>
    <w:rsid w:val="00932B04"/>
    <w:rsid w:val="009723ED"/>
    <w:rsid w:val="00A00020"/>
    <w:rsid w:val="00A45FAC"/>
    <w:rsid w:val="00A8527F"/>
    <w:rsid w:val="00AE04B0"/>
    <w:rsid w:val="00B649B7"/>
    <w:rsid w:val="00BA21CF"/>
    <w:rsid w:val="00BE0FC0"/>
    <w:rsid w:val="00C9497A"/>
    <w:rsid w:val="00CD5C0A"/>
    <w:rsid w:val="00D76A90"/>
    <w:rsid w:val="00E1733C"/>
    <w:rsid w:val="00E26A57"/>
    <w:rsid w:val="00EA3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www.e-erloesung.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hyperlink" Target="http://juki.de/videos/678-e-wie-evangelisch-die-erlosung?autoplay=true" TargetMode="External"/><Relationship Id="rId2" Type="http://schemas.openxmlformats.org/officeDocument/2006/relationships/numbering" Target="numbering.xml"/><Relationship Id="rId16" Type="http://schemas.openxmlformats.org/officeDocument/2006/relationships/hyperlink" Target="http://www.kinderfunkkolleg-trialog.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3sat.de/page/?source=/philosophie/148960/index.html" TargetMode="External"/><Relationship Id="rId10" Type="http://schemas.openxmlformats.org/officeDocument/2006/relationships/image" Target="media/image2.png"/><Relationship Id="rId19" Type="http://schemas.openxmlformats.org/officeDocument/2006/relationships/hyperlink" Target="http://www.buddhateens.org/erlosung-vom-leid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6Wf8yEb1cw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elt.de/gesundheit/psychologie/article13770583/Der-Gesundheitswahn-ist-die-neue-Religio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C356-646F-4303-9C84-1C7AE853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5371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5</cp:revision>
  <cp:lastPrinted>2016-06-23T13:18:00Z</cp:lastPrinted>
  <dcterms:created xsi:type="dcterms:W3CDTF">2016-07-07T08:31:00Z</dcterms:created>
  <dcterms:modified xsi:type="dcterms:W3CDTF">2016-08-08T06:13:00Z</dcterms:modified>
</cp:coreProperties>
</file>