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5FAC" w:rsidTr="00A45FAC">
        <w:tc>
          <w:tcPr>
            <w:tcW w:w="9212" w:type="dxa"/>
            <w:shd w:val="clear" w:color="auto" w:fill="006600"/>
          </w:tcPr>
          <w:p w:rsidR="00A45FAC" w:rsidRDefault="00A45FAC" w:rsidP="0075178A">
            <w:pPr>
              <w:spacing w:before="24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Toc443479823"/>
            <w:r w:rsidRPr="00A45FAC">
              <w:rPr>
                <w:b/>
                <w:color w:val="FFFFFF" w:themeColor="background1"/>
                <w:sz w:val="32"/>
                <w:szCs w:val="32"/>
              </w:rPr>
              <w:t xml:space="preserve">Niveaubestimmende Aufgabe zum Fachlehrplan </w:t>
            </w:r>
            <w:r w:rsidR="008C0F17">
              <w:rPr>
                <w:b/>
                <w:color w:val="FFFFFF" w:themeColor="background1"/>
                <w:sz w:val="32"/>
                <w:szCs w:val="32"/>
              </w:rPr>
              <w:t xml:space="preserve">Chemie </w:t>
            </w:r>
            <w:r w:rsidRPr="00A45FAC">
              <w:rPr>
                <w:b/>
                <w:color w:val="FFFFFF" w:themeColor="background1"/>
                <w:sz w:val="32"/>
                <w:szCs w:val="32"/>
              </w:rPr>
              <w:t>Gymnasium</w:t>
            </w:r>
          </w:p>
          <w:p w:rsidR="00A45FAC" w:rsidRDefault="00A45FAC" w:rsidP="0075178A">
            <w:pPr>
              <w:spacing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7B333E" w:rsidRPr="007B333E" w:rsidRDefault="004473F2" w:rsidP="007B333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715E3">
              <w:rPr>
                <w:sz w:val="24"/>
                <w:szCs w:val="24"/>
              </w:rPr>
              <w:t>„Deo-Kristalle“ untersuchen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76D04">
              <w:rPr>
                <w:b/>
                <w:color w:val="FFFFFF" w:themeColor="background1"/>
                <w:sz w:val="28"/>
                <w:szCs w:val="28"/>
              </w:rPr>
              <w:t>II</w:t>
            </w:r>
          </w:p>
          <w:p w:rsidR="00A45FAC" w:rsidRPr="00A45FAC" w:rsidRDefault="007B333E" w:rsidP="007B333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45FAC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4473F2">
              <w:rPr>
                <w:color w:val="FFFFFF" w:themeColor="background1"/>
                <w:sz w:val="28"/>
                <w:szCs w:val="28"/>
              </w:rPr>
              <w:t>(Schuljahrga</w:t>
            </w:r>
            <w:r w:rsidR="00A45FAC" w:rsidRPr="00A45FAC">
              <w:rPr>
                <w:color w:val="FFFFFF" w:themeColor="background1"/>
                <w:sz w:val="28"/>
                <w:szCs w:val="28"/>
              </w:rPr>
              <w:t xml:space="preserve">ng </w:t>
            </w:r>
            <w:r w:rsidR="004473F2">
              <w:rPr>
                <w:color w:val="FFFFFF" w:themeColor="background1"/>
                <w:sz w:val="28"/>
                <w:szCs w:val="28"/>
              </w:rPr>
              <w:t>1</w:t>
            </w:r>
            <w:r w:rsidR="00A83306">
              <w:rPr>
                <w:color w:val="FFFFFF" w:themeColor="background1"/>
                <w:sz w:val="28"/>
                <w:szCs w:val="28"/>
              </w:rPr>
              <w:t>1/12</w:t>
            </w:r>
            <w:r w:rsidR="00A45FAC" w:rsidRPr="00A45FAC">
              <w:rPr>
                <w:color w:val="FFFFFF" w:themeColor="background1"/>
                <w:sz w:val="28"/>
                <w:szCs w:val="28"/>
              </w:rPr>
              <w:t>)</w:t>
            </w:r>
          </w:p>
          <w:p w:rsidR="00A45FAC" w:rsidRPr="00A45FAC" w:rsidRDefault="00A45FAC" w:rsidP="00A45FA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A45FAC" w:rsidRDefault="00A45FAC" w:rsidP="004A5573">
            <w:pPr>
              <w:jc w:val="center"/>
              <w:rPr>
                <w:lang w:eastAsia="de-DE"/>
              </w:rPr>
            </w:pPr>
            <w:r w:rsidRPr="00A45FAC">
              <w:rPr>
                <w:color w:val="FFFFFF" w:themeColor="background1"/>
                <w:sz w:val="24"/>
              </w:rPr>
              <w:t xml:space="preserve">(Arbeitsstand: </w:t>
            </w:r>
            <w:r w:rsidR="004A5573">
              <w:rPr>
                <w:color w:val="FFFFFF" w:themeColor="background1"/>
                <w:sz w:val="24"/>
              </w:rPr>
              <w:t>29.7.2016)</w:t>
            </w:r>
          </w:p>
        </w:tc>
      </w:tr>
    </w:tbl>
    <w:p w:rsidR="00A45FAC" w:rsidRDefault="00A45FAC" w:rsidP="00332640">
      <w:pPr>
        <w:pBdr>
          <w:top w:val="single" w:sz="4" w:space="0" w:color="auto"/>
        </w:pBdr>
        <w:spacing w:line="240" w:lineRule="auto"/>
        <w:rPr>
          <w:lang w:eastAsia="de-DE"/>
        </w:rPr>
      </w:pPr>
    </w:p>
    <w:p w:rsidR="00743B91" w:rsidRDefault="00743B91" w:rsidP="00332640">
      <w:pPr>
        <w:spacing w:line="240" w:lineRule="auto"/>
        <w:jc w:val="both"/>
        <w:rPr>
          <w:lang w:eastAsia="de-DE"/>
        </w:rPr>
      </w:pPr>
      <w:r>
        <w:rPr>
          <w:lang w:eastAsia="de-DE"/>
        </w:rPr>
        <w:t>Niveaubestimmende Aufgaben sind Bestandteil des Lehrplankonzeptes für das Gymnasium und das Fachgymnasium.</w:t>
      </w:r>
      <w:r w:rsidR="00653A8E">
        <w:rPr>
          <w:lang w:eastAsia="de-DE"/>
        </w:rPr>
        <w:t xml:space="preserve"> Die nachfolgende Aufgabe soll Grundlage unterrichtlicher Erpr</w:t>
      </w:r>
      <w:r w:rsidR="00653A8E">
        <w:rPr>
          <w:lang w:eastAsia="de-DE"/>
        </w:rPr>
        <w:t>o</w:t>
      </w:r>
      <w:r w:rsidR="00653A8E">
        <w:rPr>
          <w:lang w:eastAsia="de-DE"/>
        </w:rPr>
        <w:t xml:space="preserve">bung sein. Rückmeldungen, Hinweise, Anregungen und Vorschläge zur Weiterentwicklung der Aufgabe senden Sie bitte über die Eingabemaske </w:t>
      </w:r>
      <w:r w:rsidR="00A45FAC">
        <w:rPr>
          <w:lang w:eastAsia="de-DE"/>
        </w:rPr>
        <w:t>(</w:t>
      </w:r>
      <w:r w:rsidR="00653A8E">
        <w:rPr>
          <w:lang w:eastAsia="de-DE"/>
        </w:rPr>
        <w:t>Bildungsserver</w:t>
      </w:r>
      <w:r w:rsidR="00A45FAC">
        <w:rPr>
          <w:lang w:eastAsia="de-DE"/>
        </w:rPr>
        <w:t>)</w:t>
      </w:r>
      <w:r w:rsidR="00B07A9E">
        <w:rPr>
          <w:lang w:eastAsia="de-DE"/>
        </w:rPr>
        <w:t xml:space="preserve"> oder direkt an </w:t>
      </w:r>
      <w:hyperlink r:id="rId9" w:history="1">
        <w:r w:rsidR="00B07A9E" w:rsidRPr="00E37C7D">
          <w:rPr>
            <w:rStyle w:val="Hyperlink"/>
            <w:rFonts w:ascii="Arial" w:hAnsi="Arial" w:cstheme="minorBidi"/>
            <w:lang w:eastAsia="de-DE"/>
          </w:rPr>
          <w:t>matthias.poetter@lisa.mb.sachsen-anhalt.de</w:t>
        </w:r>
      </w:hyperlink>
      <w:r w:rsidR="00B07A9E">
        <w:rPr>
          <w:lang w:eastAsia="de-DE"/>
        </w:rPr>
        <w:t xml:space="preserve">. </w:t>
      </w:r>
    </w:p>
    <w:p w:rsidR="00743B91" w:rsidRDefault="00743B91" w:rsidP="00332640">
      <w:pPr>
        <w:spacing w:line="240" w:lineRule="auto"/>
        <w:rPr>
          <w:lang w:eastAsia="de-DE"/>
        </w:rPr>
      </w:pPr>
    </w:p>
    <w:p w:rsidR="00743B91" w:rsidRDefault="00743B91" w:rsidP="004A5573">
      <w:pPr>
        <w:tabs>
          <w:tab w:val="left" w:pos="4140"/>
        </w:tabs>
        <w:rPr>
          <w:lang w:eastAsia="de-DE"/>
        </w:rPr>
      </w:pPr>
      <w:r>
        <w:rPr>
          <w:lang w:eastAsia="de-DE"/>
        </w:rPr>
        <w:t xml:space="preserve">An der Erarbeitung der </w:t>
      </w:r>
      <w:r w:rsidRPr="004A5573">
        <w:rPr>
          <w:rFonts w:cs="Arial"/>
        </w:rPr>
        <w:t>niveaubestimmenden</w:t>
      </w:r>
      <w:r>
        <w:rPr>
          <w:lang w:eastAsia="de-DE"/>
        </w:rPr>
        <w:t xml:space="preserve"> Aufgabe haben mitgewirkt:</w:t>
      </w:r>
    </w:p>
    <w:p w:rsidR="00743B91" w:rsidRPr="0004413B" w:rsidRDefault="004A5573" w:rsidP="004A5573">
      <w:pPr>
        <w:tabs>
          <w:tab w:val="left" w:pos="4140"/>
        </w:tabs>
        <w:rPr>
          <w:rFonts w:cs="Arial"/>
          <w:color w:val="000000" w:themeColor="text1"/>
        </w:rPr>
      </w:pPr>
      <w:r w:rsidRPr="00A063FA">
        <w:rPr>
          <w:rFonts w:cs="Arial"/>
        </w:rPr>
        <w:t>Dr. Pötter, Matthias</w:t>
      </w:r>
      <w:r w:rsidR="00743B91" w:rsidRPr="0004413B">
        <w:rPr>
          <w:rFonts w:cs="Arial"/>
          <w:color w:val="000000" w:themeColor="text1"/>
        </w:rPr>
        <w:tab/>
        <w:t>Halle (Leitung der Fach</w:t>
      </w:r>
      <w:r w:rsidR="00743B91">
        <w:rPr>
          <w:rFonts w:cs="Arial"/>
          <w:color w:val="000000" w:themeColor="text1"/>
        </w:rPr>
        <w:t>gruppe</w:t>
      </w:r>
      <w:r w:rsidR="00743B91" w:rsidRPr="0004413B">
        <w:rPr>
          <w:rFonts w:cs="Arial"/>
          <w:color w:val="000000" w:themeColor="text1"/>
        </w:rPr>
        <w:t>)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Lindau, Claudia</w:t>
      </w:r>
      <w:r w:rsidRPr="00A063FA">
        <w:rPr>
          <w:rFonts w:cs="Arial"/>
        </w:rPr>
        <w:tab/>
        <w:t>Schulpforte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Röder, Johannes</w:t>
      </w:r>
      <w:r w:rsidRPr="00A063FA">
        <w:rPr>
          <w:rFonts w:cs="Arial"/>
        </w:rPr>
        <w:tab/>
        <w:t xml:space="preserve">Wittenberg 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 xml:space="preserve">Von Alten, Birgit </w:t>
      </w:r>
      <w:r w:rsidRPr="00A063FA">
        <w:rPr>
          <w:rFonts w:cs="Arial"/>
        </w:rPr>
        <w:tab/>
        <w:t>Halberstadt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Zander, Steffen</w:t>
      </w:r>
      <w:r w:rsidRPr="00A063FA">
        <w:rPr>
          <w:rFonts w:cs="Arial"/>
        </w:rPr>
        <w:tab/>
        <w:t>Köthen</w:t>
      </w:r>
    </w:p>
    <w:p w:rsidR="00743B91" w:rsidRDefault="00743B91" w:rsidP="00332640">
      <w:pPr>
        <w:spacing w:line="240" w:lineRule="auto"/>
      </w:pPr>
    </w:p>
    <w:p w:rsidR="00743B91" w:rsidRDefault="00743B91" w:rsidP="00332640">
      <w:pPr>
        <w:spacing w:line="240" w:lineRule="auto"/>
      </w:pPr>
      <w:r>
        <w:t>Herausgeber im Auftrag des Ministeriums für Bildung des Landes Sachsen-Anhalt:</w:t>
      </w:r>
    </w:p>
    <w:p w:rsidR="00743B91" w:rsidRDefault="00743B91" w:rsidP="00332640">
      <w:pPr>
        <w:spacing w:line="240" w:lineRule="auto"/>
        <w:ind w:left="1560" w:right="2125"/>
      </w:pPr>
      <w:r>
        <w:t>Landesinstitut für Schulqualität und Lehrerbildung Sachsen-Anhalt</w:t>
      </w:r>
    </w:p>
    <w:p w:rsidR="00743B91" w:rsidRDefault="00743B91" w:rsidP="00332640">
      <w:pPr>
        <w:spacing w:line="240" w:lineRule="auto"/>
        <w:ind w:left="1560" w:right="2125"/>
      </w:pPr>
      <w:r>
        <w:t>Riebeckplatz 09</w:t>
      </w:r>
    </w:p>
    <w:p w:rsidR="00743B91" w:rsidRDefault="00743B91" w:rsidP="00332640">
      <w:pPr>
        <w:spacing w:line="240" w:lineRule="auto"/>
        <w:ind w:left="1560" w:right="2125"/>
      </w:pPr>
      <w:r>
        <w:t>06110 Halle</w:t>
      </w:r>
    </w:p>
    <w:bookmarkEnd w:id="0"/>
    <w:p w:rsidR="00A72865" w:rsidRDefault="00A72865" w:rsidP="00A72865">
      <w:pPr>
        <w:spacing w:line="240" w:lineRule="auto"/>
      </w:pPr>
    </w:p>
    <w:p w:rsidR="00A72865" w:rsidRDefault="00A72865" w:rsidP="00A72865">
      <w:pPr>
        <w:spacing w:line="240" w:lineRule="auto"/>
      </w:pPr>
      <w:r>
        <w:rPr>
          <w:noProof/>
          <w:lang w:eastAsia="de-DE"/>
        </w:rPr>
        <w:drawing>
          <wp:inline distT="0" distB="0" distL="0" distR="0" wp14:anchorId="71690107" wp14:editId="6459676C">
            <wp:extent cx="1193800" cy="787400"/>
            <wp:effectExtent l="0" t="0" r="6350" b="0"/>
            <wp:docPr id="3" name="Grafik 3" descr="publikationen$:Image_Presse:CC-OER:OER-Logo S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publikationen$:Image_Presse:CC-OER:OER-Logo SW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65" w:rsidRPr="0088254A" w:rsidRDefault="00A72865" w:rsidP="00A72865">
      <w:p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88254A">
        <w:rPr>
          <w:rFonts w:eastAsia="Calibri" w:cs="Times New Roman"/>
          <w:sz w:val="20"/>
          <w:szCs w:val="20"/>
        </w:rPr>
        <w:t xml:space="preserve">Die vorliegende Publikation, </w:t>
      </w:r>
      <w:r w:rsidRPr="0088254A">
        <w:rPr>
          <w:rFonts w:cs="Arial"/>
          <w:iCs/>
          <w:sz w:val="20"/>
          <w:szCs w:val="20"/>
        </w:rPr>
        <w:t>mit Ausnahme der Quellen Dritter,</w:t>
      </w:r>
      <w:r w:rsidRPr="0088254A">
        <w:rPr>
          <w:rFonts w:eastAsia="Calibri" w:cs="Times New Roman"/>
          <w:sz w:val="20"/>
          <w:szCs w:val="20"/>
        </w:rPr>
        <w:t xml:space="preserve"> ist unter der „Creative Commons“-Lizenz veröffentlicht.</w:t>
      </w:r>
    </w:p>
    <w:p w:rsidR="00A72865" w:rsidRPr="0088254A" w:rsidRDefault="00A72865" w:rsidP="00A72865">
      <w:pPr>
        <w:spacing w:before="60" w:line="240" w:lineRule="auto"/>
        <w:jc w:val="both"/>
        <w:rPr>
          <w:rFonts w:eastAsia="Calibri" w:cs="Arial"/>
          <w:sz w:val="20"/>
          <w:szCs w:val="20"/>
        </w:rPr>
      </w:pPr>
    </w:p>
    <w:p w:rsidR="00A72865" w:rsidRPr="003F24EB" w:rsidRDefault="00A72865" w:rsidP="00A72865">
      <w:pPr>
        <w:spacing w:line="240" w:lineRule="auto"/>
        <w:jc w:val="both"/>
        <w:rPr>
          <w:rFonts w:eastAsia="Calibri" w:cs="Arial"/>
          <w:color w:val="0000FF"/>
          <w:sz w:val="20"/>
          <w:szCs w:val="20"/>
          <w:u w:val="single"/>
          <w:lang w:val="en-US"/>
        </w:rPr>
      </w:pPr>
      <w:r w:rsidRPr="0088254A">
        <w:rPr>
          <w:rFonts w:eastAsia="Calibri" w:cs="Arial"/>
          <w:noProof/>
          <w:sz w:val="20"/>
          <w:szCs w:val="20"/>
          <w:lang w:eastAsia="de-DE"/>
        </w:rPr>
        <w:drawing>
          <wp:inline distT="0" distB="0" distL="0" distR="0" wp14:anchorId="54E17A11" wp14:editId="6914C43A">
            <wp:extent cx="141800" cy="141800"/>
            <wp:effectExtent l="0" t="0" r="10795" b="10795"/>
            <wp:docPr id="2" name="Grafik 2" descr="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C 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0" cy="1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54A">
        <w:rPr>
          <w:rFonts w:eastAsia="Calibri" w:cs="Arial"/>
          <w:noProof/>
          <w:sz w:val="20"/>
          <w:szCs w:val="20"/>
          <w:lang w:eastAsia="de-DE"/>
        </w:rPr>
        <w:drawing>
          <wp:inline distT="0" distB="0" distL="0" distR="0" wp14:anchorId="5CB8CE0B" wp14:editId="38C56831">
            <wp:extent cx="141800" cy="141800"/>
            <wp:effectExtent l="0" t="0" r="10795" b="10795"/>
            <wp:docPr id="4" name="Grafik 4" descr="C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 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0" cy="1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4EB">
        <w:rPr>
          <w:rFonts w:eastAsia="Calibri" w:cs="Arial"/>
          <w:sz w:val="20"/>
          <w:szCs w:val="20"/>
          <w:lang w:val="en-US"/>
        </w:rPr>
        <w:t xml:space="preserve"> CC BY-SA 3.0 DE </w:t>
      </w:r>
      <w:r w:rsidRPr="003F24EB">
        <w:rPr>
          <w:rFonts w:eastAsia="Calibri" w:cs="Arial"/>
          <w:sz w:val="20"/>
          <w:szCs w:val="20"/>
          <w:lang w:val="en-US"/>
        </w:rPr>
        <w:tab/>
      </w:r>
      <w:hyperlink r:id="rId13" w:history="1">
        <w:r w:rsidRPr="003F24EB">
          <w:rPr>
            <w:rFonts w:eastAsia="Calibri" w:cs="Arial"/>
            <w:color w:val="0000FF"/>
            <w:sz w:val="20"/>
            <w:szCs w:val="20"/>
            <w:u w:val="single"/>
            <w:lang w:val="en-US"/>
          </w:rPr>
          <w:t>http://creativecommons.org/licenses/by-sa/3.0/de/</w:t>
        </w:r>
      </w:hyperlink>
    </w:p>
    <w:p w:rsidR="00A72865" w:rsidRPr="003F24EB" w:rsidRDefault="00A72865" w:rsidP="00A72865">
      <w:pPr>
        <w:spacing w:before="60" w:line="240" w:lineRule="auto"/>
        <w:jc w:val="both"/>
        <w:rPr>
          <w:rFonts w:eastAsia="Calibri" w:cs="Arial"/>
          <w:sz w:val="20"/>
          <w:szCs w:val="20"/>
          <w:lang w:val="en-US"/>
        </w:rPr>
      </w:pPr>
    </w:p>
    <w:p w:rsidR="00A72865" w:rsidRPr="0088254A" w:rsidRDefault="00A72865" w:rsidP="00A7286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88254A">
        <w:rPr>
          <w:rFonts w:cs="Arial"/>
          <w:iCs/>
          <w:sz w:val="20"/>
          <w:szCs w:val="20"/>
        </w:rPr>
        <w:t>Sie dürfen das Material weiterverbreiten, bearbeiten, verändern und erweitern. Wenn Sie das Material oder Teile davon veröffentlichen, müssen Sie den Urheber nennen und kennzeichnen, welche Verä</w:t>
      </w:r>
      <w:r w:rsidRPr="0088254A"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>derungen Sie vorgenommen haben. Sie müssen das Material und Veränderungen unter den gleichen Lizenzbedingungen weitergeben.</w:t>
      </w:r>
    </w:p>
    <w:p w:rsidR="000B00E2" w:rsidRDefault="00A72865" w:rsidP="00A72865">
      <w:pPr>
        <w:spacing w:line="240" w:lineRule="auto"/>
        <w:rPr>
          <w:rStyle w:val="Hyperlink"/>
          <w:sz w:val="20"/>
          <w:szCs w:val="20"/>
        </w:rPr>
      </w:pPr>
      <w:r w:rsidRPr="0088254A">
        <w:rPr>
          <w:rFonts w:cs="Arial"/>
          <w:iCs/>
          <w:sz w:val="20"/>
          <w:szCs w:val="20"/>
        </w:rPr>
        <w:t>Die Rechte für Fotos, Abbildungen und Zitate für Quellen Dritter bleiben bei den jeweiligen Rechtei</w:t>
      </w:r>
      <w:r w:rsidRPr="0088254A"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>habern, diese Angaben können Sie de</w:t>
      </w:r>
      <w:r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 xml:space="preserve"> Quellen</w:t>
      </w:r>
      <w:r>
        <w:rPr>
          <w:rFonts w:cs="Arial"/>
          <w:iCs/>
          <w:sz w:val="20"/>
          <w:szCs w:val="20"/>
        </w:rPr>
        <w:t xml:space="preserve"> </w:t>
      </w:r>
      <w:r w:rsidRPr="0088254A">
        <w:rPr>
          <w:rFonts w:cs="Arial"/>
          <w:iCs/>
          <w:sz w:val="20"/>
          <w:szCs w:val="20"/>
        </w:rPr>
        <w:t>entnehmen. Der Herausgeber hat sich intensiv b</w:t>
      </w:r>
      <w:r w:rsidRPr="0088254A">
        <w:rPr>
          <w:rFonts w:cs="Arial"/>
          <w:iCs/>
          <w:sz w:val="20"/>
          <w:szCs w:val="20"/>
        </w:rPr>
        <w:t>e</w:t>
      </w:r>
      <w:r w:rsidRPr="0088254A">
        <w:rPr>
          <w:rFonts w:cs="Arial"/>
          <w:iCs/>
          <w:sz w:val="20"/>
          <w:szCs w:val="20"/>
        </w:rPr>
        <w:t>müht, alle Inhaber von Rechten zu benennen. Falls Sie uns weitere Urheber und Rechteinhaber b</w:t>
      </w:r>
      <w:r w:rsidRPr="0088254A">
        <w:rPr>
          <w:rFonts w:cs="Arial"/>
          <w:iCs/>
          <w:sz w:val="20"/>
          <w:szCs w:val="20"/>
        </w:rPr>
        <w:t>e</w:t>
      </w:r>
      <w:r w:rsidRPr="0088254A">
        <w:rPr>
          <w:rFonts w:cs="Arial"/>
          <w:iCs/>
          <w:sz w:val="20"/>
          <w:szCs w:val="20"/>
        </w:rPr>
        <w:t>nennen können, würden wir uns über Ihren Hinweis freuen.</w:t>
      </w:r>
      <w:bookmarkStart w:id="1" w:name="_GoBack"/>
      <w:bookmarkEnd w:id="1"/>
      <w:r w:rsidR="000B00E2">
        <w:rPr>
          <w:rStyle w:val="Hyperlink"/>
          <w:sz w:val="20"/>
          <w:szCs w:val="20"/>
        </w:rPr>
        <w:br w:type="page"/>
      </w:r>
    </w:p>
    <w:p w:rsidR="004473F2" w:rsidRPr="004473F2" w:rsidRDefault="004473F2" w:rsidP="004473F2">
      <w:pPr>
        <w:spacing w:before="60" w:after="60"/>
        <w:rPr>
          <w:b/>
          <w:sz w:val="24"/>
          <w:szCs w:val="24"/>
        </w:rPr>
      </w:pPr>
      <w:r w:rsidRPr="004473F2">
        <w:rPr>
          <w:b/>
          <w:sz w:val="24"/>
          <w:szCs w:val="24"/>
        </w:rPr>
        <w:lastRenderedPageBreak/>
        <w:t xml:space="preserve">Wir untersuchen „Deo-Kristalle“ </w:t>
      </w:r>
    </w:p>
    <w:p w:rsidR="004473F2" w:rsidRPr="00D4748D" w:rsidRDefault="00A83306" w:rsidP="004473F2">
      <w:pPr>
        <w:spacing w:before="60" w:after="60"/>
        <w:rPr>
          <w:rFonts w:cs="Arial"/>
          <w:b/>
        </w:rPr>
      </w:pPr>
      <w:r w:rsidRPr="00D4748D">
        <w:rPr>
          <w:rFonts w:cs="Arial"/>
          <w:b/>
        </w:rPr>
        <w:t>Material</w:t>
      </w:r>
      <w:r>
        <w:rPr>
          <w:rFonts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065"/>
      </w:tblGrid>
      <w:tr w:rsidR="004473F2" w:rsidRPr="00A81AB7" w:rsidTr="003041F5">
        <w:tc>
          <w:tcPr>
            <w:tcW w:w="9462" w:type="dxa"/>
            <w:gridSpan w:val="2"/>
            <w:tcBorders>
              <w:bottom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Deodorante sollen die Entwicklung abstoßender Körpergerüche verhindern, indem sie bakterielle Zersetzungsprozesse im Schweiß beseitigen oder überdecken:</w:t>
            </w:r>
          </w:p>
        </w:tc>
      </w:tr>
      <w:tr w:rsidR="004473F2" w:rsidRPr="00A81AB7" w:rsidTr="003041F5">
        <w:tc>
          <w:tcPr>
            <w:tcW w:w="9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b/>
                <w:sz w:val="20"/>
                <w:szCs w:val="20"/>
              </w:rPr>
              <w:t>Verbraucherhinweise zum „Deo-Kristall“</w:t>
            </w:r>
          </w:p>
        </w:tc>
      </w:tr>
      <w:tr w:rsidR="004473F2" w:rsidRPr="00A81AB7" w:rsidTr="003041F5">
        <w:tc>
          <w:tcPr>
            <w:tcW w:w="6379" w:type="dxa"/>
            <w:tcBorders>
              <w:top w:val="nil"/>
              <w:right w:val="nil"/>
            </w:tcBorders>
            <w:shd w:val="clear" w:color="auto" w:fill="auto"/>
          </w:tcPr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ohne Konservierungsstoffe, ohne Parfüm, ohne Alkohol</w:t>
            </w:r>
          </w:p>
          <w:p w:rsidR="004473F2" w:rsidRPr="00A81AB7" w:rsidRDefault="004473F2" w:rsidP="004473F2">
            <w:pPr>
              <w:pStyle w:val="Textkrper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hautklinisch getestet auf Verträglichkeit und Wirkung</w:t>
            </w:r>
          </w:p>
          <w:p w:rsidR="004473F2" w:rsidRPr="00A81AB7" w:rsidRDefault="004473F2" w:rsidP="004473F2">
            <w:pPr>
              <w:pStyle w:val="Textkrper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schützt zuverlässig gegen Körpergeruch dank seiner einziga</w:t>
            </w:r>
            <w:r w:rsidRPr="00A81AB7">
              <w:rPr>
                <w:rFonts w:cs="Arial"/>
                <w:sz w:val="20"/>
                <w:szCs w:val="20"/>
              </w:rPr>
              <w:t>r</w:t>
            </w:r>
            <w:r w:rsidRPr="00A81AB7">
              <w:rPr>
                <w:rFonts w:cs="Arial"/>
                <w:sz w:val="20"/>
                <w:szCs w:val="20"/>
              </w:rPr>
              <w:t>tigen Wirkkombination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einfach mit Wasser anfeuchten, Hautpartien bestreichen und Sie fühlen sich den ganzen Tag herrlich frisch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chemische Zusammensetzung: Ammonium-Aluminiumsulfat (vereinfacht aus Ammoniumsulfat und Aluminiumsulfat best</w:t>
            </w:r>
            <w:r w:rsidRPr="00A81AB7">
              <w:rPr>
                <w:rFonts w:cs="Arial"/>
                <w:sz w:val="20"/>
                <w:szCs w:val="20"/>
              </w:rPr>
              <w:t>e</w:t>
            </w:r>
            <w:r w:rsidRPr="00A81AB7">
              <w:rPr>
                <w:rFonts w:cs="Arial"/>
                <w:sz w:val="20"/>
                <w:szCs w:val="20"/>
              </w:rPr>
              <w:t xml:space="preserve">hend) 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durch die saure Reaktion der Salze wird eine eiweißzerstöre</w:t>
            </w:r>
            <w:r w:rsidRPr="00A81AB7">
              <w:rPr>
                <w:rFonts w:cs="Arial"/>
                <w:sz w:val="20"/>
                <w:szCs w:val="20"/>
              </w:rPr>
              <w:t>n</w:t>
            </w:r>
            <w:r w:rsidRPr="00A81AB7">
              <w:rPr>
                <w:rFonts w:cs="Arial"/>
                <w:sz w:val="20"/>
                <w:szCs w:val="20"/>
              </w:rPr>
              <w:t>de Wirkung (antibakteriell, enzymhemmend) hervorgerufen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Fällungsprodukte aus dem Eiweiß verengen auf mechan</w:t>
            </w:r>
            <w:r w:rsidRPr="00A81AB7">
              <w:rPr>
                <w:rFonts w:cs="Arial"/>
                <w:sz w:val="20"/>
                <w:szCs w:val="20"/>
              </w:rPr>
              <w:t>i</w:t>
            </w:r>
            <w:r w:rsidRPr="00A81AB7">
              <w:rPr>
                <w:rFonts w:cs="Arial"/>
                <w:sz w:val="20"/>
                <w:szCs w:val="20"/>
              </w:rPr>
              <w:t>schem Wege den Ausgang der Schweißkanäle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sauer reagierenden Salze neutralisieren basische Schweißze</w:t>
            </w:r>
            <w:r w:rsidRPr="00A81AB7">
              <w:rPr>
                <w:rFonts w:cs="Arial"/>
                <w:sz w:val="20"/>
                <w:szCs w:val="20"/>
              </w:rPr>
              <w:t>r</w:t>
            </w:r>
            <w:r w:rsidRPr="00A81AB7">
              <w:rPr>
                <w:rFonts w:cs="Arial"/>
                <w:sz w:val="20"/>
                <w:szCs w:val="20"/>
              </w:rPr>
              <w:t>setzungsprodukte zu geruchlosen Salzen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„Kristallwasser“ bitte nicht mit Marmor in Berührung bringen.</w:t>
            </w:r>
          </w:p>
        </w:tc>
        <w:tc>
          <w:tcPr>
            <w:tcW w:w="3083" w:type="dxa"/>
            <w:tcBorders>
              <w:top w:val="nil"/>
              <w:left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/>
              <w:rPr>
                <w:sz w:val="20"/>
                <w:szCs w:val="20"/>
              </w:rPr>
            </w:pPr>
          </w:p>
          <w:p w:rsidR="004473F2" w:rsidRPr="00A81AB7" w:rsidRDefault="004473F2" w:rsidP="003041F5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663700" cy="2044700"/>
                  <wp:effectExtent l="0" t="0" r="0" b="0"/>
                  <wp:docPr id="5" name="Grafik 5" descr="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3F2" w:rsidRPr="00A81AB7" w:rsidRDefault="004473F2" w:rsidP="003041F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473F2" w:rsidRDefault="004473F2" w:rsidP="004473F2">
      <w:pPr>
        <w:spacing w:before="60" w:after="60" w:line="240" w:lineRule="auto"/>
        <w:ind w:left="720"/>
        <w:rPr>
          <w:rFonts w:cs="Arial"/>
          <w:sz w:val="20"/>
        </w:rPr>
      </w:pPr>
    </w:p>
    <w:p w:rsidR="00A83306" w:rsidRPr="00E27645" w:rsidRDefault="00A83306" w:rsidP="00A83306">
      <w:pPr>
        <w:numPr>
          <w:ilvl w:val="0"/>
          <w:numId w:val="37"/>
        </w:numPr>
        <w:ind w:left="426" w:hanging="426"/>
        <w:jc w:val="both"/>
      </w:pPr>
      <w:r w:rsidRPr="00E27645">
        <w:t>Planen Sie ein Experiment nach erfolgter Recherche, um den sechsten Hinweis auf dem Deo-Kristall zu bestätigen.</w:t>
      </w:r>
    </w:p>
    <w:p w:rsidR="00A83306" w:rsidRPr="00E27645" w:rsidRDefault="00A83306" w:rsidP="00A83306">
      <w:pPr>
        <w:numPr>
          <w:ilvl w:val="0"/>
          <w:numId w:val="37"/>
        </w:numPr>
        <w:spacing w:before="120"/>
        <w:ind w:left="425" w:hanging="425"/>
        <w:jc w:val="both"/>
      </w:pPr>
      <w:r w:rsidRPr="00E27645">
        <w:t>Erläutern Sie anhand von zwei möglichen Reaktionen die Bildung einer sauren Lösung beim Lösen des Deo-Kristalls in Wasser.</w:t>
      </w:r>
    </w:p>
    <w:p w:rsidR="00A83306" w:rsidRPr="00E27645" w:rsidRDefault="00A83306" w:rsidP="00A83306">
      <w:pPr>
        <w:ind w:left="426"/>
      </w:pPr>
      <w:r w:rsidRPr="00E27645">
        <w:t>Bestimmen Sie experimentell den pH-Wert der Lösung.</w:t>
      </w:r>
    </w:p>
    <w:p w:rsidR="00A83306" w:rsidRPr="00E27645" w:rsidRDefault="00A83306" w:rsidP="00A83306">
      <w:pPr>
        <w:numPr>
          <w:ilvl w:val="0"/>
          <w:numId w:val="37"/>
        </w:numPr>
        <w:spacing w:before="120"/>
        <w:ind w:left="425" w:hanging="425"/>
        <w:jc w:val="both"/>
      </w:pPr>
      <w:r w:rsidRPr="00E27645">
        <w:t>Berechnen Sie jeweils den pH-Wert einer Ammoniumsul</w:t>
      </w:r>
      <w:r>
        <w:t>fat- und einer Aluminiumsulfat-</w:t>
      </w:r>
      <w:r w:rsidRPr="00E27645">
        <w:t>Lö</w:t>
      </w:r>
      <w:r>
        <w:t>sung mit c = 0,1 mol/L</w:t>
      </w:r>
      <w:r w:rsidRPr="00E27645">
        <w:t>.</w:t>
      </w:r>
    </w:p>
    <w:p w:rsidR="00A83306" w:rsidRPr="00E27645" w:rsidRDefault="00A83306" w:rsidP="00A83306">
      <w:pPr>
        <w:ind w:left="426"/>
      </w:pPr>
      <w:r w:rsidRPr="00E27645">
        <w:t>Beurteilen Sie den Einfluss der beiden Kationen auf den pH-Wert des Deo-Kristalls.</w:t>
      </w:r>
    </w:p>
    <w:p w:rsidR="00A83306" w:rsidRPr="00E27645" w:rsidRDefault="00A83306" w:rsidP="00A83306">
      <w:pPr>
        <w:numPr>
          <w:ilvl w:val="0"/>
          <w:numId w:val="37"/>
        </w:numPr>
        <w:spacing w:before="120"/>
        <w:ind w:left="425" w:hanging="425"/>
        <w:jc w:val="both"/>
      </w:pPr>
      <w:r w:rsidRPr="00E27645">
        <w:t>Recherchieren Sie die Entstehung und Zusammensetzung von Schweiß.</w:t>
      </w:r>
    </w:p>
    <w:p w:rsidR="00A83306" w:rsidRPr="00E27645" w:rsidRDefault="00A83306" w:rsidP="00A83306">
      <w:pPr>
        <w:ind w:left="426"/>
      </w:pPr>
      <w:r w:rsidRPr="00E27645">
        <w:t xml:space="preserve">Entwickeln Sie entsprechend des achten Hinweises eine mögliche Reaktionsgleichung. </w:t>
      </w:r>
    </w:p>
    <w:p w:rsidR="001F279A" w:rsidRDefault="00A83306" w:rsidP="001F279A">
      <w:pPr>
        <w:numPr>
          <w:ilvl w:val="0"/>
          <w:numId w:val="37"/>
        </w:numPr>
        <w:spacing w:before="120"/>
        <w:ind w:left="425" w:hanging="425"/>
        <w:jc w:val="both"/>
      </w:pPr>
      <w:r w:rsidRPr="00E27645">
        <w:t xml:space="preserve">Beurteilen Sie auch mithilfe der chemischen Zeichensprache den Verbraucherhinweis: „Kristallwasser bitte nicht mit </w:t>
      </w:r>
      <w:r w:rsidR="00F0152C">
        <w:t>Marmor in Berührung bringen“</w:t>
      </w:r>
      <w:r w:rsidR="00397FE3">
        <w:t>.</w:t>
      </w:r>
    </w:p>
    <w:p w:rsidR="00F0152C" w:rsidRPr="001F279A" w:rsidRDefault="00F0152C" w:rsidP="001F279A">
      <w:pPr>
        <w:numPr>
          <w:ilvl w:val="0"/>
          <w:numId w:val="37"/>
        </w:numPr>
        <w:spacing w:before="120"/>
        <w:ind w:left="425" w:hanging="425"/>
        <w:jc w:val="both"/>
      </w:pPr>
      <w:r>
        <w:t xml:space="preserve">Bewerten Sie den Einsatz von aluminiumhaltigen </w:t>
      </w:r>
      <w:r w:rsidR="00397FE3">
        <w:t>Antitranspirantien</w:t>
      </w:r>
      <w:r>
        <w:t xml:space="preserve"> unter </w:t>
      </w:r>
      <w:r w:rsidR="00C236FB">
        <w:t>Verwendung</w:t>
      </w:r>
      <w:r w:rsidR="00397FE3">
        <w:t>:</w:t>
      </w:r>
      <w:r>
        <w:t xml:space="preserve"> </w:t>
      </w:r>
      <w:hyperlink r:id="rId15" w:history="1">
        <w:r w:rsidR="00397FE3" w:rsidRPr="001F279A">
          <w:rPr>
            <w:rStyle w:val="Hyperlink"/>
            <w:rFonts w:ascii="Arial" w:hAnsi="Arial" w:cs="Arial"/>
            <w:sz w:val="16"/>
            <w:szCs w:val="16"/>
          </w:rPr>
          <w:t>http://www.bfr.bund.de/cm/343/aluminiumhaltige-antitranspirantien-tragen-zur-aufnahme-von-aluminium-bei.pdf</w:t>
        </w:r>
      </w:hyperlink>
    </w:p>
    <w:p w:rsidR="00A83306" w:rsidRDefault="00A83306" w:rsidP="00397FE3">
      <w:pPr>
        <w:spacing w:before="120"/>
        <w:jc w:val="both"/>
      </w:pPr>
      <w:r w:rsidRPr="00E27645">
        <w:t xml:space="preserve">Dokumentieren Sie </w:t>
      </w:r>
      <w:r>
        <w:t xml:space="preserve">entsprechend Ihre </w:t>
      </w:r>
      <w:r w:rsidRPr="00E27645">
        <w:t>Ergebnisse.</w:t>
      </w:r>
      <w:r>
        <w:br w:type="page"/>
      </w:r>
    </w:p>
    <w:p w:rsidR="004A5865" w:rsidRDefault="004A5865" w:rsidP="004A5865">
      <w:pPr>
        <w:tabs>
          <w:tab w:val="left" w:pos="378"/>
        </w:tabs>
        <w:spacing w:after="120"/>
        <w:rPr>
          <w:b/>
          <w:noProof/>
        </w:rPr>
      </w:pPr>
      <w:r w:rsidRPr="00473CC2">
        <w:rPr>
          <w:b/>
          <w:noProof/>
        </w:rPr>
        <w:lastRenderedPageBreak/>
        <w:t xml:space="preserve">Einordnung in den </w:t>
      </w:r>
      <w:r>
        <w:rPr>
          <w:b/>
          <w:noProof/>
        </w:rPr>
        <w:t>Fachlehrplan Gymnasium</w:t>
      </w:r>
    </w:p>
    <w:tbl>
      <w:tblPr>
        <w:tblW w:w="9039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39"/>
      </w:tblGrid>
      <w:tr w:rsidR="00A83306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06" w:rsidRPr="00FB3AF9" w:rsidRDefault="00A83306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Kompetenzschwerpunkt(e) bzw. Kompetenzbereich</w:t>
            </w:r>
          </w:p>
          <w:p w:rsidR="00A83306" w:rsidRPr="006521CB" w:rsidRDefault="00A83306" w:rsidP="00A83306">
            <w:pPr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 w:rsidRPr="00991013">
              <w:rPr>
                <w:rFonts w:cs="Arial"/>
              </w:rPr>
              <w:t>Donator-Akzeptor-Konzept auf Protonenübergänge anwenden</w:t>
            </w:r>
          </w:p>
        </w:tc>
      </w:tr>
      <w:tr w:rsidR="00A83306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06" w:rsidRPr="00FB3AF9" w:rsidRDefault="00A83306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zu entwickelnde (bzw. zu überprüfende) Kompetenzen:</w:t>
            </w:r>
          </w:p>
          <w:p w:rsidR="00A83306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 xml:space="preserve">Donator-Akzeptor-Konzept auf Säure-Base-Gleichgewichte übertragen </w:t>
            </w:r>
          </w:p>
          <w:p w:rsidR="00A83306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>pH-Wert- und Konzentrationsberechnungen</w:t>
            </w:r>
            <w:r w:rsidRPr="000D5227">
              <w:t xml:space="preserve"> </w:t>
            </w:r>
            <w:r w:rsidRPr="00411A61">
              <w:t>zu starken und</w:t>
            </w:r>
            <w:r>
              <w:t xml:space="preserve"> schwachen Sä</w:t>
            </w:r>
            <w:r>
              <w:t>u</w:t>
            </w:r>
            <w:r>
              <w:t>ren/Basen durchführen</w:t>
            </w:r>
          </w:p>
          <w:p w:rsidR="00A83306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 xml:space="preserve">experimentelle Untersuchungen </w:t>
            </w:r>
            <w:r w:rsidRPr="00411A61">
              <w:t>unter Anleitung</w:t>
            </w:r>
            <w:r>
              <w:t xml:space="preserve"> planen, selbstständig durchführen und auswerten</w:t>
            </w:r>
          </w:p>
          <w:p w:rsidR="00A83306" w:rsidRPr="009431FF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>Wesen der Säure-Base-Reaktion unter Nutzung der Fach- und Zeichensprache veranschaulichen</w:t>
            </w:r>
          </w:p>
        </w:tc>
      </w:tr>
      <w:tr w:rsidR="00A83306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06" w:rsidRPr="00FB3AF9" w:rsidRDefault="00A83306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Bezug zu grundlegenden Wissensbeständen:</w:t>
            </w:r>
          </w:p>
          <w:p w:rsidR="00A83306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>Säure-Base-Theorie nach Brönsted, korrespondierende Säure-Base-Paare</w:t>
            </w:r>
          </w:p>
          <w:p w:rsidR="00A83306" w:rsidRPr="009431FF" w:rsidRDefault="00A83306" w:rsidP="00A83306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>Autoprotolyse, Ionenprodukt des Wassers, pH-Wert</w:t>
            </w:r>
          </w:p>
        </w:tc>
      </w:tr>
    </w:tbl>
    <w:p w:rsidR="00212598" w:rsidRDefault="00212598" w:rsidP="004473F2">
      <w:pPr>
        <w:rPr>
          <w:b/>
        </w:rPr>
      </w:pPr>
    </w:p>
    <w:p w:rsidR="004473F2" w:rsidRPr="00FB3AF9" w:rsidRDefault="004473F2" w:rsidP="00C16702">
      <w:pPr>
        <w:jc w:val="both"/>
      </w:pPr>
      <w:r w:rsidRPr="00FB3AF9">
        <w:rPr>
          <w:b/>
        </w:rPr>
        <w:t>Anregungen und Hinweise zum unterrichtlichen Einsatz</w:t>
      </w:r>
    </w:p>
    <w:p w:rsidR="00F44051" w:rsidRDefault="00A83306" w:rsidP="00C16702">
      <w:pPr>
        <w:jc w:val="both"/>
      </w:pPr>
      <w:r w:rsidRPr="00FB3AF9">
        <w:t xml:space="preserve">Im Unterricht kann diese Aufgabe zur Festigung (Systematisierung) </w:t>
      </w:r>
      <w:r>
        <w:t>am Ende der Behan</w:t>
      </w:r>
      <w:r>
        <w:t>d</w:t>
      </w:r>
      <w:r>
        <w:t>lung des Kompetenzschwerpunktes „</w:t>
      </w:r>
      <w:r w:rsidRPr="00991013">
        <w:rPr>
          <w:rFonts w:cs="Arial"/>
        </w:rPr>
        <w:t>Donator-Akzeptor-Konzept auf Protonenübergänge a</w:t>
      </w:r>
      <w:r w:rsidRPr="00991013">
        <w:rPr>
          <w:rFonts w:cs="Arial"/>
        </w:rPr>
        <w:t>n</w:t>
      </w:r>
      <w:r w:rsidRPr="00991013">
        <w:rPr>
          <w:rFonts w:cs="Arial"/>
        </w:rPr>
        <w:t>wenden</w:t>
      </w:r>
      <w:r>
        <w:rPr>
          <w:rFonts w:cs="Arial"/>
        </w:rPr>
        <w:t xml:space="preserve">“ </w:t>
      </w:r>
      <w:r>
        <w:t xml:space="preserve">eingesetzt </w:t>
      </w:r>
      <w:r w:rsidRPr="00FB3AF9">
        <w:t>und für eine</w:t>
      </w:r>
      <w:r>
        <w:t xml:space="preserve"> bzw. zwei</w:t>
      </w:r>
      <w:r w:rsidRPr="00FB3AF9">
        <w:t xml:space="preserve"> Doppelstunde</w:t>
      </w:r>
      <w:r>
        <w:t>n</w:t>
      </w:r>
      <w:r w:rsidRPr="00FB3AF9">
        <w:t xml:space="preserve"> </w:t>
      </w:r>
      <w:r>
        <w:t xml:space="preserve">inklusive der Auswertung durch Schülerreferate </w:t>
      </w:r>
      <w:r w:rsidRPr="00FB3AF9">
        <w:t>geplant werden</w:t>
      </w:r>
      <w:r>
        <w:t xml:space="preserve">. Voraussetzung ist das Bereitstellen von entsprechenden Materialien/Medien (Fachliteratur, Internetzugang). </w:t>
      </w:r>
      <w:r w:rsidR="00B36491">
        <w:t xml:space="preserve">Auch eine Vernetzung zu </w:t>
      </w:r>
      <w:r w:rsidR="00B36491">
        <w:rPr>
          <w:rFonts w:cs="Arial"/>
        </w:rPr>
        <w:t>fächerübergre</w:t>
      </w:r>
      <w:r w:rsidR="00B36491">
        <w:rPr>
          <w:rFonts w:cs="Arial"/>
        </w:rPr>
        <w:t>i</w:t>
      </w:r>
      <w:r w:rsidR="00B36491">
        <w:rPr>
          <w:rFonts w:cs="Arial"/>
        </w:rPr>
        <w:t xml:space="preserve">fenden Themen </w:t>
      </w:r>
      <w:r w:rsidR="00B36491">
        <w:t>bzw. Sachverhalten (z. B. Biologie)ist mit dieser Aufgabe gegeben.</w:t>
      </w:r>
    </w:p>
    <w:p w:rsidR="00C16702" w:rsidRDefault="00C16702" w:rsidP="00C16702">
      <w:pPr>
        <w:jc w:val="both"/>
        <w:rPr>
          <w:b/>
        </w:rPr>
      </w:pPr>
    </w:p>
    <w:p w:rsidR="004473F2" w:rsidRDefault="004473F2" w:rsidP="00C16702">
      <w:pPr>
        <w:jc w:val="both"/>
      </w:pPr>
      <w:r>
        <w:rPr>
          <w:b/>
        </w:rPr>
        <w:t>Variationsmöglichkeiten</w:t>
      </w:r>
    </w:p>
    <w:p w:rsidR="00A83306" w:rsidRPr="00B36491" w:rsidRDefault="00B36491" w:rsidP="00C16702">
      <w:pPr>
        <w:spacing w:before="60" w:after="60"/>
        <w:jc w:val="both"/>
      </w:pPr>
      <w:r>
        <w:t>Eine</w:t>
      </w:r>
      <w:r w:rsidR="00A83306">
        <w:t xml:space="preserve"> Möglichkeit </w:t>
      </w:r>
      <w:r>
        <w:t xml:space="preserve">zur Differenzierung bzw. zur </w:t>
      </w:r>
      <w:r w:rsidR="00A83306" w:rsidRPr="00E8309C">
        <w:t>Aufgabenvariationen</w:t>
      </w:r>
      <w:r w:rsidR="00A83306">
        <w:t xml:space="preserve"> </w:t>
      </w:r>
      <w:r>
        <w:t xml:space="preserve">kann durch den Einsatz der niveaubestimmenden Aufgabe </w:t>
      </w:r>
      <w:r w:rsidRPr="00B36491">
        <w:rPr>
          <w:i/>
        </w:rPr>
        <w:t>Wir untersuchen „Deo-Kristalle“</w:t>
      </w:r>
      <w:r w:rsidRPr="00B36491">
        <w:t xml:space="preserve"> </w:t>
      </w:r>
      <w:r>
        <w:t>(Schuljahrgang 10) erfo</w:t>
      </w:r>
      <w:r>
        <w:t>l</w:t>
      </w:r>
      <w:r>
        <w:t>gen</w:t>
      </w:r>
      <w:r w:rsidR="00A83306">
        <w:t>.</w:t>
      </w:r>
    </w:p>
    <w:p w:rsidR="00B36491" w:rsidRDefault="00B36491" w:rsidP="00C16702">
      <w:pPr>
        <w:pStyle w:val="Listenabsatz"/>
        <w:ind w:left="0"/>
        <w:jc w:val="both"/>
        <w:rPr>
          <w:noProof/>
        </w:rPr>
      </w:pPr>
      <w:r w:rsidRPr="006A542F">
        <w:rPr>
          <w:noProof/>
        </w:rPr>
        <w:t>Die</w:t>
      </w:r>
      <w:r>
        <w:rPr>
          <w:noProof/>
        </w:rPr>
        <w:t xml:space="preserve">se </w:t>
      </w:r>
      <w:r w:rsidRPr="006A542F">
        <w:rPr>
          <w:noProof/>
        </w:rPr>
        <w:t>niveaubestimmenden Aufgaben verdeutlichen das Abschlussniveau (Abiturprüfung) und orientieren sich deshalb in ihrer Gliederung an schriftlichen oder mündlichen Prüfungsaufgaben</w:t>
      </w:r>
      <w:r>
        <w:rPr>
          <w:noProof/>
        </w:rPr>
        <w:t>.</w:t>
      </w:r>
    </w:p>
    <w:p w:rsidR="00B36491" w:rsidRDefault="00B36491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B36491" w:rsidRPr="00B36491" w:rsidRDefault="00B36491" w:rsidP="00F44051">
      <w:pPr>
        <w:rPr>
          <w:b/>
        </w:rPr>
      </w:pPr>
      <w:r w:rsidRPr="00B36491">
        <w:rPr>
          <w:b/>
        </w:rPr>
        <w:lastRenderedPageBreak/>
        <w:t>Auszug aus:</w:t>
      </w:r>
    </w:p>
    <w:p w:rsidR="00B36491" w:rsidRDefault="00B36491" w:rsidP="00B36491">
      <w:pPr>
        <w:pStyle w:val="Kopfzeile"/>
        <w:tabs>
          <w:tab w:val="clear" w:pos="4536"/>
        </w:tabs>
        <w:rPr>
          <w:caps/>
          <w:sz w:val="20"/>
        </w:rPr>
      </w:pPr>
      <w:r w:rsidRPr="007A3C25">
        <w:rPr>
          <w:caps/>
          <w:sz w:val="20"/>
        </w:rPr>
        <w:t>SCHRIFTLICHE ABITURPRÜFUNG</w:t>
      </w:r>
      <w:r>
        <w:rPr>
          <w:caps/>
          <w:sz w:val="20"/>
        </w:rPr>
        <w:t xml:space="preserve"> </w:t>
      </w:r>
      <w:r w:rsidRPr="007A3C25">
        <w:rPr>
          <w:caps/>
          <w:sz w:val="20"/>
        </w:rPr>
        <w:t>201</w:t>
      </w:r>
      <w:r>
        <w:rPr>
          <w:caps/>
          <w:sz w:val="20"/>
        </w:rPr>
        <w:t>6 CHEMIe, erhöhtes Anforderungsniveau</w:t>
      </w:r>
      <w:r w:rsidRPr="007A3C25">
        <w:rPr>
          <w:caps/>
          <w:sz w:val="20"/>
        </w:rPr>
        <w:t xml:space="preserve"> </w:t>
      </w:r>
    </w:p>
    <w:p w:rsidR="00B36491" w:rsidRPr="00B36491" w:rsidRDefault="00B36491" w:rsidP="00B36491">
      <w:pPr>
        <w:pStyle w:val="Kopfzeile"/>
        <w:tabs>
          <w:tab w:val="clear" w:pos="4536"/>
        </w:tabs>
        <w:rPr>
          <w: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36491" w:rsidRPr="00B36491" w:rsidTr="00B3649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91" w:rsidRPr="00B36491" w:rsidRDefault="00B36491">
            <w:pPr>
              <w:spacing w:before="120" w:line="240" w:lineRule="auto"/>
              <w:jc w:val="both"/>
              <w:rPr>
                <w:rFonts w:cs="Arial"/>
                <w:b/>
                <w:noProof/>
                <w:sz w:val="20"/>
                <w:szCs w:val="20"/>
              </w:rPr>
            </w:pPr>
            <w:r w:rsidRPr="00B36491">
              <w:rPr>
                <w:b/>
                <w:bCs/>
                <w:noProof/>
                <w:sz w:val="20"/>
                <w:szCs w:val="20"/>
              </w:rPr>
              <w:t>Material 2:</w:t>
            </w:r>
          </w:p>
          <w:p w:rsidR="00B36491" w:rsidRPr="00B36491" w:rsidRDefault="00B36491" w:rsidP="00C16702">
            <w:pPr>
              <w:spacing w:after="80" w:line="240" w:lineRule="auto"/>
              <w:rPr>
                <w:sz w:val="20"/>
                <w:szCs w:val="20"/>
              </w:rPr>
            </w:pPr>
            <w:r w:rsidRPr="00B36491">
              <w:rPr>
                <w:sz w:val="20"/>
                <w:szCs w:val="20"/>
              </w:rPr>
              <w:t>Deodorants sollen die Entwicklung abstoßender Körpergerüche verhindern, indem sie bakterielle Ze</w:t>
            </w:r>
            <w:r w:rsidRPr="00B36491">
              <w:rPr>
                <w:sz w:val="20"/>
                <w:szCs w:val="20"/>
              </w:rPr>
              <w:t>r</w:t>
            </w:r>
            <w:r w:rsidRPr="00B36491">
              <w:rPr>
                <w:sz w:val="20"/>
                <w:szCs w:val="20"/>
              </w:rPr>
              <w:t>setzungsprozesse im Schweiß unterbinden.</w:t>
            </w:r>
          </w:p>
          <w:p w:rsidR="00B36491" w:rsidRPr="00B36491" w:rsidRDefault="00B36491" w:rsidP="00C16702">
            <w:pPr>
              <w:spacing w:line="240" w:lineRule="auto"/>
              <w:rPr>
                <w:sz w:val="20"/>
                <w:szCs w:val="20"/>
              </w:rPr>
            </w:pPr>
            <w:r w:rsidRPr="00B36491">
              <w:rPr>
                <w:sz w:val="20"/>
                <w:szCs w:val="20"/>
              </w:rPr>
              <w:t>Die prinzipielle Wirkung wird u. a. auf folgende Faktoren zurückgeführt: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6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B36491">
              <w:rPr>
                <w:color w:val="000000"/>
                <w:sz w:val="20"/>
                <w:szCs w:val="20"/>
              </w:rPr>
              <w:t>Ammonium-Aluminiumsulfat (NH</w:t>
            </w:r>
            <w:r w:rsidRPr="00B36491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36491">
              <w:rPr>
                <w:color w:val="000000"/>
                <w:sz w:val="20"/>
                <w:szCs w:val="20"/>
              </w:rPr>
              <w:t>Al(SO</w:t>
            </w:r>
            <w:r w:rsidRPr="00B36491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36491">
              <w:rPr>
                <w:color w:val="000000"/>
                <w:sz w:val="20"/>
                <w:szCs w:val="20"/>
              </w:rPr>
              <w:t>)</w:t>
            </w:r>
            <w:r w:rsidRPr="00B36491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36491">
              <w:rPr>
                <w:color w:val="000000"/>
                <w:sz w:val="20"/>
                <w:szCs w:val="20"/>
              </w:rPr>
              <w:t>) dissoziiert bei Kontakt mit Wasser vollständig,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80" w:line="240" w:lineRule="auto"/>
              <w:ind w:left="357" w:hanging="357"/>
              <w:rPr>
                <w:sz w:val="20"/>
                <w:szCs w:val="20"/>
              </w:rPr>
            </w:pPr>
            <w:r w:rsidRPr="00B36491"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5A149EE" wp14:editId="179DF632">
                  <wp:simplePos x="0" y="0"/>
                  <wp:positionH relativeFrom="column">
                    <wp:posOffset>4703445</wp:posOffset>
                  </wp:positionH>
                  <wp:positionV relativeFrom="paragraph">
                    <wp:posOffset>354330</wp:posOffset>
                  </wp:positionV>
                  <wp:extent cx="977900" cy="1656080"/>
                  <wp:effectExtent l="0" t="0" r="0" b="1270"/>
                  <wp:wrapTight wrapText="bothSides">
                    <wp:wrapPolygon edited="0">
                      <wp:start x="0" y="0"/>
                      <wp:lineTo x="0" y="21368"/>
                      <wp:lineTo x="21039" y="21368"/>
                      <wp:lineTo x="21039" y="0"/>
                      <wp:lineTo x="0" y="0"/>
                    </wp:wrapPolygon>
                  </wp:wrapTight>
                  <wp:docPr id="6" name="Grafik 6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2" t="13481" r="21349" b="12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6491">
              <w:rPr>
                <w:sz w:val="20"/>
                <w:szCs w:val="20"/>
              </w:rPr>
              <w:t>sauer</w:t>
            </w:r>
            <w:r w:rsidRPr="00B36491">
              <w:rPr>
                <w:w w:val="125"/>
                <w:sz w:val="20"/>
                <w:szCs w:val="20"/>
              </w:rPr>
              <w:t xml:space="preserve"> </w:t>
            </w:r>
            <w:r w:rsidRPr="00B36491">
              <w:rPr>
                <w:sz w:val="20"/>
                <w:szCs w:val="20"/>
              </w:rPr>
              <w:t>reagierende Lösungen</w:t>
            </w:r>
            <w:r w:rsidRPr="00B36491">
              <w:rPr>
                <w:w w:val="125"/>
                <w:sz w:val="20"/>
                <w:szCs w:val="20"/>
              </w:rPr>
              <w:t xml:space="preserve"> </w:t>
            </w:r>
            <w:r w:rsidRPr="00B36491">
              <w:rPr>
                <w:sz w:val="20"/>
                <w:szCs w:val="20"/>
              </w:rPr>
              <w:t>neutralisieren</w:t>
            </w:r>
            <w:r w:rsidRPr="00B36491">
              <w:rPr>
                <w:w w:val="125"/>
                <w:sz w:val="20"/>
                <w:szCs w:val="20"/>
              </w:rPr>
              <w:t xml:space="preserve"> </w:t>
            </w:r>
            <w:r w:rsidRPr="00B36491">
              <w:rPr>
                <w:sz w:val="20"/>
                <w:szCs w:val="20"/>
              </w:rPr>
              <w:t>basische</w:t>
            </w:r>
            <w:r w:rsidRPr="00B36491">
              <w:rPr>
                <w:w w:val="125"/>
                <w:sz w:val="20"/>
                <w:szCs w:val="20"/>
              </w:rPr>
              <w:t xml:space="preserve"> </w:t>
            </w:r>
            <w:r w:rsidRPr="00B36491">
              <w:rPr>
                <w:sz w:val="20"/>
                <w:szCs w:val="20"/>
              </w:rPr>
              <w:t>Schweißzersetzungsprodukte (NH</w:t>
            </w:r>
            <w:r w:rsidRPr="00B36491">
              <w:rPr>
                <w:sz w:val="20"/>
                <w:szCs w:val="20"/>
                <w:vertAlign w:val="subscript"/>
              </w:rPr>
              <w:t>3</w:t>
            </w:r>
            <w:r w:rsidRPr="00B36491">
              <w:rPr>
                <w:sz w:val="20"/>
                <w:szCs w:val="20"/>
              </w:rPr>
              <w:t>, R-NH</w:t>
            </w:r>
            <w:r w:rsidRPr="00B36491">
              <w:rPr>
                <w:sz w:val="20"/>
                <w:szCs w:val="20"/>
                <w:vertAlign w:val="subscript"/>
              </w:rPr>
              <w:t>2</w:t>
            </w:r>
            <w:r w:rsidRPr="00B36491">
              <w:rPr>
                <w:sz w:val="20"/>
                <w:szCs w:val="20"/>
              </w:rPr>
              <w:t>) zu geruchlosen Salzen und wirken zusätzlich antibakteriell.</w:t>
            </w:r>
          </w:p>
          <w:p w:rsidR="00B36491" w:rsidRPr="00B36491" w:rsidRDefault="00B36491" w:rsidP="00C16702">
            <w:pPr>
              <w:spacing w:line="240" w:lineRule="auto"/>
              <w:rPr>
                <w:b/>
                <w:sz w:val="20"/>
                <w:szCs w:val="20"/>
              </w:rPr>
            </w:pPr>
            <w:r w:rsidRPr="00B36491">
              <w:rPr>
                <w:b/>
                <w:sz w:val="20"/>
                <w:szCs w:val="20"/>
              </w:rPr>
              <w:t>Verbraucherinformation zum DeoKristall: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6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B36491">
              <w:rPr>
                <w:sz w:val="20"/>
                <w:szCs w:val="20"/>
              </w:rPr>
              <w:t>… ohne Parfüm, ohne Alkohol, ohne Farb- und Konservierungsstoffe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60" w:line="240" w:lineRule="auto"/>
              <w:ind w:left="357" w:hanging="357"/>
              <w:rPr>
                <w:sz w:val="20"/>
                <w:szCs w:val="20"/>
              </w:rPr>
            </w:pPr>
            <w:r w:rsidRPr="00B36491">
              <w:rPr>
                <w:sz w:val="20"/>
                <w:szCs w:val="20"/>
              </w:rPr>
              <w:t>Anwendung: DeoKristall mit Wasser anfeuchten und die Achselpartien damit sanft bestreichen.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60" w:line="240" w:lineRule="auto"/>
              <w:ind w:left="357" w:hanging="357"/>
              <w:rPr>
                <w:sz w:val="20"/>
                <w:szCs w:val="20"/>
                <w:u w:val="single"/>
              </w:rPr>
            </w:pPr>
            <w:r w:rsidRPr="00B36491">
              <w:rPr>
                <w:sz w:val="20"/>
                <w:szCs w:val="20"/>
              </w:rPr>
              <w:t>Tipp: Besonders lange haben Sie an Ihrem Deo Freude, wenn Sie den Kri</w:t>
            </w:r>
            <w:r w:rsidRPr="00B36491">
              <w:rPr>
                <w:sz w:val="20"/>
                <w:szCs w:val="20"/>
              </w:rPr>
              <w:t>s</w:t>
            </w:r>
            <w:r w:rsidRPr="00B36491">
              <w:rPr>
                <w:sz w:val="20"/>
                <w:szCs w:val="20"/>
              </w:rPr>
              <w:t>tall nach der Anwendung gründlich reinigen und trocknen.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6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B36491">
              <w:rPr>
                <w:color w:val="000000"/>
                <w:sz w:val="20"/>
                <w:szCs w:val="20"/>
              </w:rPr>
              <w:t>Inhaltsstoff: Ammonium-Aluminiumsulfat</w:t>
            </w:r>
          </w:p>
          <w:p w:rsidR="00B36491" w:rsidRPr="00B36491" w:rsidRDefault="00B36491" w:rsidP="00C16702">
            <w:pPr>
              <w:numPr>
                <w:ilvl w:val="0"/>
                <w:numId w:val="38"/>
              </w:numPr>
              <w:spacing w:after="12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36491">
              <w:rPr>
                <w:color w:val="000000"/>
                <w:sz w:val="20"/>
                <w:szCs w:val="20"/>
              </w:rPr>
              <w:t>Hinweis</w:t>
            </w:r>
            <w:r w:rsidRPr="00B36491">
              <w:rPr>
                <w:sz w:val="20"/>
                <w:szCs w:val="20"/>
              </w:rPr>
              <w:t>: Feuchten DeoKristall nicht mit Marmor (Calciumcarbonat) in Berü</w:t>
            </w:r>
            <w:r w:rsidRPr="00B36491">
              <w:rPr>
                <w:sz w:val="20"/>
                <w:szCs w:val="20"/>
              </w:rPr>
              <w:t>h</w:t>
            </w:r>
            <w:r w:rsidRPr="00B36491">
              <w:rPr>
                <w:sz w:val="20"/>
                <w:szCs w:val="20"/>
              </w:rPr>
              <w:t>rung bringen.</w:t>
            </w:r>
          </w:p>
        </w:tc>
      </w:tr>
    </w:tbl>
    <w:p w:rsidR="00B36491" w:rsidRPr="00B36491" w:rsidRDefault="00B36491" w:rsidP="00B36491">
      <w:pPr>
        <w:pStyle w:val="unteraufgabe"/>
        <w:tabs>
          <w:tab w:val="left" w:pos="357"/>
        </w:tabs>
        <w:ind w:left="0"/>
        <w:rPr>
          <w:sz w:val="20"/>
          <w:szCs w:val="20"/>
        </w:rPr>
      </w:pPr>
      <w:r w:rsidRPr="00B36491">
        <w:rPr>
          <w:sz w:val="20"/>
          <w:szCs w:val="20"/>
        </w:rPr>
        <w:t>4</w:t>
      </w:r>
      <w:r w:rsidRPr="00B36491">
        <w:rPr>
          <w:sz w:val="20"/>
          <w:szCs w:val="20"/>
        </w:rPr>
        <w:tab/>
        <w:t>Erläutern Sie die Wirkung eines DeoKristalls beim Schutz gegen Körpergeruch.</w:t>
      </w:r>
    </w:p>
    <w:p w:rsidR="00B36491" w:rsidRPr="00B36491" w:rsidRDefault="00B36491" w:rsidP="00B36491">
      <w:pPr>
        <w:spacing w:line="240" w:lineRule="auto"/>
        <w:ind w:left="357"/>
        <w:rPr>
          <w:sz w:val="20"/>
          <w:szCs w:val="20"/>
        </w:rPr>
      </w:pPr>
      <w:r w:rsidRPr="00B36491">
        <w:rPr>
          <w:sz w:val="20"/>
          <w:szCs w:val="20"/>
        </w:rPr>
        <w:t xml:space="preserve">Beurteilen Sie den Hinweis zur Verbraucherinformation. </w:t>
      </w:r>
    </w:p>
    <w:p w:rsidR="00B36491" w:rsidRPr="00B36491" w:rsidRDefault="00B36491" w:rsidP="00B36491">
      <w:pPr>
        <w:pStyle w:val="unteraufgabe"/>
        <w:tabs>
          <w:tab w:val="left" w:pos="357"/>
        </w:tabs>
        <w:ind w:left="0"/>
        <w:rPr>
          <w:b/>
          <w:sz w:val="20"/>
          <w:szCs w:val="20"/>
        </w:rPr>
      </w:pPr>
      <w:r w:rsidRPr="00B36491">
        <w:rPr>
          <w:sz w:val="20"/>
          <w:szCs w:val="20"/>
        </w:rPr>
        <w:t>5</w:t>
      </w:r>
      <w:r w:rsidRPr="00B36491">
        <w:rPr>
          <w:b/>
          <w:sz w:val="20"/>
          <w:szCs w:val="20"/>
        </w:rPr>
        <w:tab/>
        <w:t>Experiment:</w:t>
      </w:r>
    </w:p>
    <w:p w:rsidR="00B36491" w:rsidRPr="00B36491" w:rsidRDefault="00B36491" w:rsidP="00B36491">
      <w:pPr>
        <w:spacing w:line="240" w:lineRule="auto"/>
        <w:ind w:left="357"/>
        <w:jc w:val="both"/>
        <w:rPr>
          <w:sz w:val="20"/>
          <w:szCs w:val="20"/>
        </w:rPr>
      </w:pPr>
      <w:r w:rsidRPr="00B36491">
        <w:rPr>
          <w:sz w:val="20"/>
          <w:szCs w:val="20"/>
        </w:rPr>
        <w:t>Sie erhalten verdünnte Lösungen von Aluminiumchlorid, Kaliumchlorid und Natriumcarbonat. Ide</w:t>
      </w:r>
      <w:r w:rsidRPr="00B36491">
        <w:rPr>
          <w:sz w:val="20"/>
          <w:szCs w:val="20"/>
        </w:rPr>
        <w:t>n</w:t>
      </w:r>
      <w:r w:rsidRPr="00B36491">
        <w:rPr>
          <w:sz w:val="20"/>
          <w:szCs w:val="20"/>
        </w:rPr>
        <w:t>tifizieren Sie diese.</w:t>
      </w:r>
    </w:p>
    <w:p w:rsidR="00B36491" w:rsidRPr="00B36491" w:rsidRDefault="00B36491" w:rsidP="00B36491">
      <w:pPr>
        <w:spacing w:line="240" w:lineRule="auto"/>
        <w:ind w:left="357"/>
        <w:jc w:val="both"/>
        <w:rPr>
          <w:sz w:val="20"/>
          <w:szCs w:val="20"/>
        </w:rPr>
      </w:pPr>
      <w:r w:rsidRPr="00B36491">
        <w:rPr>
          <w:sz w:val="20"/>
          <w:szCs w:val="20"/>
        </w:rPr>
        <w:t>Zusätzlich steht Ihnen nur eine der folgenden Lösungen von Methylorange, Phenolphthalein oder Bariumchlorid zur Verfügung.</w:t>
      </w:r>
    </w:p>
    <w:p w:rsidR="00B36491" w:rsidRPr="00B36491" w:rsidRDefault="00B36491" w:rsidP="00B36491">
      <w:pPr>
        <w:spacing w:line="240" w:lineRule="auto"/>
        <w:ind w:left="1423" w:hanging="1066"/>
        <w:jc w:val="both"/>
        <w:rPr>
          <w:sz w:val="20"/>
          <w:szCs w:val="20"/>
        </w:rPr>
      </w:pPr>
      <w:r w:rsidRPr="00B36491">
        <w:rPr>
          <w:b/>
          <w:sz w:val="20"/>
          <w:szCs w:val="20"/>
        </w:rPr>
        <w:t>Hinweis:</w:t>
      </w:r>
      <w:r w:rsidRPr="00B36491">
        <w:rPr>
          <w:sz w:val="20"/>
          <w:szCs w:val="20"/>
        </w:rPr>
        <w:tab/>
        <w:t>Für Experimente mit den zu untersuchenden Lösungen untereinander verwenden Sie jeweils etwa gleichgroße Volumina der Lösungen.</w:t>
      </w:r>
    </w:p>
    <w:p w:rsidR="00B36491" w:rsidRPr="00B36491" w:rsidRDefault="00B36491" w:rsidP="00B36491">
      <w:pPr>
        <w:pStyle w:val="KeinLeerraum"/>
        <w:spacing w:before="120"/>
        <w:ind w:left="357"/>
        <w:jc w:val="both"/>
        <w:rPr>
          <w:sz w:val="20"/>
          <w:szCs w:val="20"/>
        </w:rPr>
      </w:pPr>
      <w:r w:rsidRPr="00B36491">
        <w:rPr>
          <w:sz w:val="20"/>
          <w:szCs w:val="20"/>
        </w:rPr>
        <w:t>Werten Sie die Beobachtungsergebnisse aus.</w:t>
      </w:r>
    </w:p>
    <w:p w:rsidR="00F44051" w:rsidRDefault="00F44051" w:rsidP="00F44051">
      <w:pPr>
        <w:rPr>
          <w:b/>
        </w:rPr>
      </w:pPr>
    </w:p>
    <w:p w:rsidR="00F44051" w:rsidRPr="00F44051" w:rsidRDefault="00F44051" w:rsidP="00F44051">
      <w:pPr>
        <w:rPr>
          <w:b/>
          <w:sz w:val="20"/>
          <w:szCs w:val="20"/>
        </w:rPr>
      </w:pPr>
      <w:r w:rsidRPr="00F44051">
        <w:rPr>
          <w:b/>
        </w:rPr>
        <w:t>Bewertungshinweise</w:t>
      </w:r>
      <w:r w:rsidRPr="00F44051">
        <w:rPr>
          <w:b/>
          <w:sz w:val="20"/>
          <w:szCs w:val="20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43"/>
        <w:gridCol w:w="500"/>
      </w:tblGrid>
      <w:tr w:rsidR="00B36491" w:rsidRPr="00B36491" w:rsidTr="003041F5">
        <w:trPr>
          <w:cantSplit/>
        </w:trPr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91" w:rsidRPr="00B36491" w:rsidRDefault="00B36491" w:rsidP="003041F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36491">
              <w:rPr>
                <w:rFonts w:cs="Arial"/>
                <w:b/>
                <w:bCs/>
                <w:sz w:val="20"/>
                <w:szCs w:val="20"/>
              </w:rPr>
              <w:t>Aufgabe 4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91" w:rsidRPr="00B36491" w:rsidRDefault="00B36491" w:rsidP="003041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49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B36491" w:rsidRPr="00B36491" w:rsidTr="003041F5">
        <w:tc>
          <w:tcPr>
            <w:tcW w:w="567" w:type="dxa"/>
          </w:tcPr>
          <w:p w:rsidR="00B36491" w:rsidRPr="00B36491" w:rsidRDefault="00B36491" w:rsidP="003041F5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143" w:type="dxa"/>
          </w:tcPr>
          <w:p w:rsidR="00B36491" w:rsidRPr="00B36491" w:rsidRDefault="00B36491" w:rsidP="003041F5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Erläutern der Wirkung beinhaltet u. a.</w:t>
            </w:r>
          </w:p>
          <w:p w:rsidR="00B36491" w:rsidRPr="00B36491" w:rsidRDefault="00B36491" w:rsidP="003041F5">
            <w:pPr>
              <w:pStyle w:val="Kopfzeile"/>
              <w:tabs>
                <w:tab w:val="left" w:pos="708"/>
              </w:tabs>
              <w:spacing w:after="6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Dissoziation, Protolysen und Neutralisation jeweils mit Reaktionsgleichungen</w:t>
            </w:r>
          </w:p>
          <w:p w:rsidR="00B36491" w:rsidRPr="00B36491" w:rsidRDefault="00B36491" w:rsidP="003041F5">
            <w:pPr>
              <w:pStyle w:val="Kopfzeile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Beurteilen des Hinweises z. B.</w:t>
            </w:r>
          </w:p>
          <w:p w:rsidR="00B36491" w:rsidRPr="00B36491" w:rsidRDefault="00B36491" w:rsidP="003041F5">
            <w:pPr>
              <w:spacing w:after="12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Sauer reagierende Bestandteile zersetzen Carbonate wie Marmor, der Gefahrenhinweis ist folglich berechtigt.</w:t>
            </w:r>
          </w:p>
        </w:tc>
        <w:tc>
          <w:tcPr>
            <w:tcW w:w="500" w:type="dxa"/>
          </w:tcPr>
          <w:p w:rsidR="00B36491" w:rsidRPr="00B36491" w:rsidRDefault="00B36491" w:rsidP="00304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491" w:rsidRPr="00B36491" w:rsidTr="003041F5">
        <w:trPr>
          <w:cantSplit/>
        </w:trPr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91" w:rsidRPr="00B36491" w:rsidRDefault="00B36491" w:rsidP="003041F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36491">
              <w:rPr>
                <w:rFonts w:cs="Arial"/>
                <w:b/>
                <w:bCs/>
                <w:sz w:val="20"/>
                <w:szCs w:val="20"/>
              </w:rPr>
              <w:t>Aufgabe 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91" w:rsidRPr="00B36491" w:rsidRDefault="00B36491" w:rsidP="003041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491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B36491" w:rsidRPr="00B36491" w:rsidTr="003041F5">
        <w:tc>
          <w:tcPr>
            <w:tcW w:w="567" w:type="dxa"/>
          </w:tcPr>
          <w:p w:rsidR="00B36491" w:rsidRPr="00B36491" w:rsidRDefault="00B36491" w:rsidP="003041F5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143" w:type="dxa"/>
          </w:tcPr>
          <w:p w:rsidR="00B36491" w:rsidRPr="00B36491" w:rsidRDefault="00B36491" w:rsidP="00B36491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Anfordern einer Lösung von Methylorange, Phenolphthalein oder Bariumchlorid</w:t>
            </w:r>
          </w:p>
          <w:p w:rsidR="00B36491" w:rsidRPr="00B36491" w:rsidRDefault="00B36491" w:rsidP="00B36491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Durchführen des Experimentes unter Beachtung des Arbeitsschutzes</w:t>
            </w:r>
          </w:p>
          <w:p w:rsidR="00B36491" w:rsidRPr="00B36491" w:rsidRDefault="00B36491" w:rsidP="00B36491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Beobachten und Auswerten</w:t>
            </w:r>
          </w:p>
          <w:p w:rsidR="00B36491" w:rsidRPr="00B36491" w:rsidRDefault="00B36491" w:rsidP="00B36491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mögliche Vorgehensweise:</w:t>
            </w:r>
          </w:p>
          <w:p w:rsidR="00B36491" w:rsidRPr="00B36491" w:rsidRDefault="00B36491" w:rsidP="00B36491">
            <w:pPr>
              <w:pStyle w:val="Kopfzeile"/>
              <w:tabs>
                <w:tab w:val="left" w:pos="708"/>
              </w:tabs>
              <w:spacing w:before="80"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Teilen der Lösungen</w:t>
            </w:r>
          </w:p>
          <w:p w:rsidR="00B36491" w:rsidRPr="00B36491" w:rsidRDefault="00B36491" w:rsidP="00B36491">
            <w:pPr>
              <w:numPr>
                <w:ilvl w:val="0"/>
                <w:numId w:val="41"/>
              </w:numPr>
              <w:spacing w:line="240" w:lineRule="auto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mit Indikator Methylorange die saure Aluminiumchlorid-Lösung identifizieren</w:t>
            </w:r>
          </w:p>
          <w:p w:rsidR="00B36491" w:rsidRPr="00B36491" w:rsidRDefault="00B36491" w:rsidP="00B36491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B36491">
              <w:rPr>
                <w:rFonts w:cs="Arial"/>
                <w:sz w:val="20"/>
                <w:szCs w:val="20"/>
              </w:rPr>
              <w:t>(Reaktionsgleichung ohne BE)</w:t>
            </w:r>
          </w:p>
          <w:p w:rsidR="00B36491" w:rsidRPr="00B36491" w:rsidRDefault="00B36491" w:rsidP="00B36491">
            <w:pPr>
              <w:numPr>
                <w:ilvl w:val="0"/>
                <w:numId w:val="41"/>
              </w:numPr>
              <w:spacing w:line="240" w:lineRule="auto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mithilfe der Aluminiumchlorid-Lösung die Natriumcarbonat-Lösung identifizieren</w:t>
            </w:r>
          </w:p>
          <w:p w:rsidR="00B36491" w:rsidRPr="00B36491" w:rsidRDefault="00B36491" w:rsidP="00B36491">
            <w:pPr>
              <w:numPr>
                <w:ilvl w:val="0"/>
                <w:numId w:val="41"/>
              </w:numPr>
              <w:spacing w:line="240" w:lineRule="auto"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B36491">
              <w:rPr>
                <w:rFonts w:cs="Arial"/>
                <w:sz w:val="20"/>
                <w:szCs w:val="20"/>
              </w:rPr>
              <w:t>nach dem Ausschlussprinzip Kaliumchlorid-Lösung identifizieren</w:t>
            </w:r>
          </w:p>
        </w:tc>
        <w:tc>
          <w:tcPr>
            <w:tcW w:w="500" w:type="dxa"/>
          </w:tcPr>
          <w:p w:rsidR="00B36491" w:rsidRPr="00B36491" w:rsidRDefault="00B36491" w:rsidP="00304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36491" w:rsidRDefault="00B36491">
      <w:pPr>
        <w:spacing w:after="200" w:line="276" w:lineRule="auto"/>
        <w:rPr>
          <w:rFonts w:eastAsia="Calibri" w:cs="Times New Roman"/>
        </w:rPr>
      </w:pPr>
      <w:r>
        <w:br w:type="page"/>
      </w:r>
    </w:p>
    <w:p w:rsidR="00B07A9E" w:rsidRDefault="00B07A9E" w:rsidP="004473F2">
      <w:pPr>
        <w:spacing w:before="120" w:after="120" w:line="240" w:lineRule="auto"/>
        <w:rPr>
          <w:b/>
        </w:rPr>
      </w:pPr>
      <w:r w:rsidRPr="00341DB9">
        <w:rPr>
          <w:b/>
        </w:rPr>
        <w:lastRenderedPageBreak/>
        <w:t>Erwarteter Stand der Kompetenzentwicklung</w:t>
      </w:r>
    </w:p>
    <w:p w:rsidR="00B07A9E" w:rsidRDefault="00B07A9E" w:rsidP="004A5573">
      <w:pPr>
        <w:spacing w:before="120" w:after="120" w:line="240" w:lineRule="auto"/>
      </w:pPr>
    </w:p>
    <w:tbl>
      <w:tblPr>
        <w:tblW w:w="0" w:type="auto"/>
        <w:tblInd w:w="108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18"/>
        <w:gridCol w:w="5953"/>
        <w:gridCol w:w="1560"/>
      </w:tblGrid>
      <w:tr w:rsidR="00B07A9E" w:rsidRPr="00FC13C7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Pr="00FC13C7" w:rsidRDefault="00B07A9E" w:rsidP="00673034">
            <w:pPr>
              <w:rPr>
                <w:b/>
              </w:rPr>
            </w:pPr>
            <w:r w:rsidRPr="00FC13C7">
              <w:rPr>
                <w:b/>
              </w:rPr>
              <w:t>Aufgabe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Default="00B07A9E" w:rsidP="00673034">
            <w:r w:rsidRPr="00FC13C7">
              <w:rPr>
                <w:b/>
              </w:rPr>
              <w:t>erwartete Schülerleistung</w:t>
            </w:r>
          </w:p>
          <w:p w:rsidR="00B07A9E" w:rsidRPr="00FC13C7" w:rsidRDefault="00B07A9E" w:rsidP="00673034">
            <w:pPr>
              <w:rPr>
                <w:b/>
              </w:rPr>
            </w:pPr>
            <w:r>
              <w:t>Die Schülerinnen und Schüler können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Pr="00FC13C7" w:rsidRDefault="00FE1D06" w:rsidP="00A83306">
            <w:pPr>
              <w:jc w:val="center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B07A9E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6853" w:rsidRPr="008C0F17" w:rsidRDefault="00426853" w:rsidP="00FE1D0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5348" w:rsidRDefault="00F44051" w:rsidP="00BE534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experimentelle Untersuchungen selbstständig planen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7937" w:rsidRPr="001F7937" w:rsidRDefault="00FE1D06" w:rsidP="004473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21AC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4473F2" w:rsidP="006E21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F44051" w:rsidRDefault="00F44051" w:rsidP="00F44051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Wesen der Säure-Base-Reaktion unter Nutzung der Fach- und Zeichensprache veranschaulichen</w:t>
            </w:r>
          </w:p>
          <w:p w:rsidR="00F44051" w:rsidRDefault="00FE1D06" w:rsidP="00F44051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 w:rsidRPr="00E27645">
              <w:t>experimentell den pH-Wert der Lösung</w:t>
            </w:r>
            <w:r>
              <w:t xml:space="preserve"> bestimmen</w:t>
            </w:r>
          </w:p>
          <w:p w:rsidR="00FE1D06" w:rsidRPr="00F44051" w:rsidRDefault="00FE1D06" w:rsidP="00FE1D06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 w:rsidRPr="00FE1D06">
              <w:t>Experimente</w:t>
            </w:r>
            <w:r w:rsidRPr="00FE1D06">
              <w:rPr>
                <w:rFonts w:cs="Arial"/>
              </w:rPr>
              <w:t xml:space="preserve"> reflektieren und fachlich korrekt dok</w:t>
            </w:r>
            <w:r w:rsidRPr="00FE1D06">
              <w:rPr>
                <w:rFonts w:cs="Arial"/>
              </w:rPr>
              <w:t>u</w:t>
            </w:r>
            <w:r w:rsidRPr="00FE1D06">
              <w:rPr>
                <w:rFonts w:cs="Arial"/>
              </w:rPr>
              <w:t>mentieren sowie qualitativ/quantitativ auswerten</w:t>
            </w:r>
          </w:p>
          <w:p w:rsidR="00F44051" w:rsidRPr="00B6797C" w:rsidRDefault="00F44051" w:rsidP="00F44051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digitale Messwerterfassung nutzen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E1D06" w:rsidRDefault="00FE1D06" w:rsidP="008C0F17">
            <w:pPr>
              <w:jc w:val="center"/>
              <w:rPr>
                <w:b/>
              </w:rPr>
            </w:pPr>
          </w:p>
          <w:p w:rsidR="00FE1D06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E1D06" w:rsidRDefault="00FE1D06" w:rsidP="008C0F17">
            <w:pPr>
              <w:jc w:val="center"/>
              <w:rPr>
                <w:b/>
              </w:rPr>
            </w:pPr>
          </w:p>
          <w:p w:rsidR="00FE1D06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E1D06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21AC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8C0F17" w:rsidRDefault="004473F2" w:rsidP="001F793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F44051" w:rsidP="00F44051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pH-Wert- und Konzentrationsberechnungen zu Sä</w:t>
            </w:r>
            <w:r>
              <w:rPr>
                <w:rFonts w:cs="Arial"/>
              </w:rPr>
              <w:t>u</w:t>
            </w:r>
            <w:r>
              <w:rPr>
                <w:rFonts w:cs="Arial"/>
              </w:rPr>
              <w:t>ren/Basen durchführen</w:t>
            </w:r>
          </w:p>
          <w:p w:rsidR="00FE1D06" w:rsidRDefault="00FE1D06" w:rsidP="00FE1D06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Donator-Akzeptor-Konzept auf Säure-Base-Gleichgewichte übertragen </w:t>
            </w:r>
          </w:p>
          <w:p w:rsidR="00FE1D06" w:rsidRPr="00EF4603" w:rsidRDefault="00FE1D06" w:rsidP="00FE1D06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Massenwirkungsgesetz auf Säure-Base-Gleichgewichte anwenden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FE1D06" w:rsidP="00EF46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E1D06" w:rsidRDefault="00FE1D06" w:rsidP="00EF4603">
            <w:pPr>
              <w:jc w:val="center"/>
              <w:rPr>
                <w:b/>
              </w:rPr>
            </w:pPr>
          </w:p>
          <w:p w:rsidR="00FE1D06" w:rsidRDefault="00FE1D06" w:rsidP="00EF46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E1D06" w:rsidRDefault="00FE1D06" w:rsidP="00EF4603">
            <w:pPr>
              <w:jc w:val="center"/>
              <w:rPr>
                <w:b/>
              </w:rPr>
            </w:pPr>
          </w:p>
          <w:p w:rsidR="00FE1D06" w:rsidRPr="001F7937" w:rsidRDefault="00FE1D06" w:rsidP="00EF46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21AC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4473F2" w:rsidP="001F793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E1D06" w:rsidRPr="00FE1D06" w:rsidRDefault="00FE1D06" w:rsidP="00FE1D06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 w:rsidRPr="00FE1D06">
              <w:rPr>
                <w:rFonts w:cs="Arial"/>
              </w:rPr>
              <w:t>in unterschiedlichen Quellen recherchieren und w</w:t>
            </w:r>
            <w:r w:rsidRPr="00FE1D06">
              <w:rPr>
                <w:rFonts w:cs="Arial"/>
              </w:rPr>
              <w:t>e</w:t>
            </w:r>
            <w:r w:rsidRPr="00FE1D06">
              <w:rPr>
                <w:rFonts w:cs="Arial"/>
              </w:rPr>
              <w:t>sentliche Informationen auswählen</w:t>
            </w:r>
          </w:p>
          <w:p w:rsidR="006E21AC" w:rsidRPr="00B6797C" w:rsidRDefault="00FE1D06" w:rsidP="00FE1D06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Wesen der Säure-Base-Reaktion unter Nutzung der Fach- und Zeichensprache am Beispiel veranschaul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>chen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E1D06" w:rsidRDefault="00FE1D06" w:rsidP="008C0F17">
            <w:pPr>
              <w:jc w:val="center"/>
              <w:rPr>
                <w:b/>
              </w:rPr>
            </w:pPr>
          </w:p>
          <w:p w:rsidR="00FE1D06" w:rsidRDefault="00FE1D06" w:rsidP="008C0F17">
            <w:pPr>
              <w:jc w:val="center"/>
              <w:rPr>
                <w:b/>
              </w:rPr>
            </w:pPr>
          </w:p>
          <w:p w:rsidR="00FE1D06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E1D06" w:rsidRPr="001F7937" w:rsidRDefault="00FE1D06" w:rsidP="008C0F17">
            <w:pPr>
              <w:jc w:val="center"/>
              <w:rPr>
                <w:b/>
              </w:rPr>
            </w:pPr>
          </w:p>
        </w:tc>
      </w:tr>
      <w:tr w:rsidR="00A83306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3306" w:rsidRDefault="00A83306" w:rsidP="001F793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3306" w:rsidRDefault="00FE1D06" w:rsidP="00F0152C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Aussagen aus unterschiedlichen Teilgebieten der Chemie verknüpfen und diese fachgerecht auf der Grundlage chemischer Kenntnisse </w:t>
            </w:r>
            <w:r w:rsidR="00F0152C">
              <w:rPr>
                <w:rFonts w:cs="Arial"/>
              </w:rPr>
              <w:t>beurteilen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3306" w:rsidRDefault="00FE1D06" w:rsidP="008C0F17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</w:tr>
      <w:tr w:rsidR="00F0152C" w:rsidTr="00A8330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152C" w:rsidRDefault="00F0152C" w:rsidP="001F793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152C" w:rsidRDefault="00F0152C" w:rsidP="00F0152C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Aussagen im Kontext zu Alltagsfragen aus unte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>schiedlichen Gebieten verknüpfen und diese fachg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recht auf der Grundlage chemischer Kenntnisse b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werten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152C" w:rsidRDefault="00F0152C" w:rsidP="008C0F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D6648" w:rsidRPr="004A5573" w:rsidRDefault="002D6648" w:rsidP="004A5573">
      <w:pPr>
        <w:spacing w:before="120" w:after="120"/>
        <w:rPr>
          <w:rStyle w:val="Hyperlink"/>
          <w:rFonts w:ascii="Arial" w:hAnsi="Arial" w:cstheme="minorBidi"/>
          <w:color w:val="auto"/>
          <w:u w:val="none"/>
        </w:rPr>
      </w:pPr>
    </w:p>
    <w:sectPr w:rsidR="002D6648" w:rsidRPr="004A5573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1A" w:rsidRDefault="006F691A" w:rsidP="00BE0FC0">
      <w:pPr>
        <w:spacing w:line="240" w:lineRule="auto"/>
      </w:pPr>
      <w:r>
        <w:separator/>
      </w:r>
    </w:p>
  </w:endnote>
  <w:endnote w:type="continuationSeparator" w:id="0">
    <w:p w:rsidR="006F691A" w:rsidRDefault="006F691A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052833"/>
      <w:docPartObj>
        <w:docPartGallery w:val="Page Numbers (Bottom of Page)"/>
        <w:docPartUnique/>
      </w:docPartObj>
    </w:sdtPr>
    <w:sdtEndPr/>
    <w:sdtContent>
      <w:p w:rsidR="00743B91" w:rsidRPr="00A12FAA" w:rsidRDefault="00A72865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eastAsia="de-DE"/>
          </w:rPr>
          <w:pict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2049" type="#_x0000_t172" style="position:absolute;left:0;text-align:left;margin-left:56.05pt;margin-top:-444.25pt;width:338.85pt;height:194.4pt;rotation:-932592fd;z-index:-251658752;mso-wrap-edited:f;mso-position-horizontal-relative:text;mso-position-vertical-relative:text" adj="15429" fillcolor="silver" stroked="f">
              <v:fill opacity=".5"/>
              <v:shadow color="#868686"/>
              <v:textpath style="font-family:&quot;Arial Black&quot;;v-text-kern:t" trim="t" fitpath="t" string="ERPROBUNG"/>
            </v:shape>
          </w:pict>
        </w:r>
        <w:r w:rsidR="00743B91" w:rsidRPr="00A12FAA">
          <w:rPr>
            <w:sz w:val="18"/>
            <w:szCs w:val="18"/>
          </w:rPr>
          <w:t>Quelle: Bildungsserver Sachsen-Anhalt (http://www.bildung-lsa.de) | Lizenz: Creative Commons (CC BY-SA 3.0)</w:t>
        </w:r>
      </w:p>
      <w:p w:rsidR="00743B91" w:rsidRDefault="00743B91">
        <w:pPr>
          <w:pStyle w:val="Fuzeile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28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1A" w:rsidRDefault="006F691A" w:rsidP="00BE0FC0">
      <w:pPr>
        <w:spacing w:line="240" w:lineRule="auto"/>
      </w:pPr>
      <w:r>
        <w:separator/>
      </w:r>
    </w:p>
  </w:footnote>
  <w:footnote w:type="continuationSeparator" w:id="0">
    <w:p w:rsidR="006F691A" w:rsidRDefault="006F691A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BB"/>
    <w:multiLevelType w:val="hybridMultilevel"/>
    <w:tmpl w:val="10249F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1CA"/>
    <w:multiLevelType w:val="hybridMultilevel"/>
    <w:tmpl w:val="8D0206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03B30"/>
    <w:multiLevelType w:val="hybridMultilevel"/>
    <w:tmpl w:val="007CE9E8"/>
    <w:lvl w:ilvl="0" w:tplc="5B702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6DC1ED2"/>
    <w:multiLevelType w:val="hybridMultilevel"/>
    <w:tmpl w:val="18E44A0E"/>
    <w:lvl w:ilvl="0" w:tplc="39049DEC">
      <w:start w:val="1"/>
      <w:numFmt w:val="bullet"/>
      <w:pStyle w:val="Anstrich2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183E5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A68BA"/>
    <w:multiLevelType w:val="hybridMultilevel"/>
    <w:tmpl w:val="DC925406"/>
    <w:lvl w:ilvl="0" w:tplc="B928AB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061"/>
    <w:multiLevelType w:val="hybridMultilevel"/>
    <w:tmpl w:val="55D8CC10"/>
    <w:lvl w:ilvl="0" w:tplc="FBEE7FD8">
      <w:start w:val="1"/>
      <w:numFmt w:val="decimal"/>
      <w:lvlText w:val="%1"/>
      <w:lvlJc w:val="left"/>
      <w:pPr>
        <w:ind w:left="712" w:hanging="57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D684A"/>
    <w:multiLevelType w:val="multilevel"/>
    <w:tmpl w:val="E6C4913E"/>
    <w:numStyleLink w:val="Anstrich"/>
  </w:abstractNum>
  <w:abstractNum w:abstractNumId="10">
    <w:nsid w:val="4A642254"/>
    <w:multiLevelType w:val="hybridMultilevel"/>
    <w:tmpl w:val="4342BEA8"/>
    <w:lvl w:ilvl="0" w:tplc="090208E4">
      <w:numFmt w:val="bullet"/>
      <w:lvlText w:val="-"/>
      <w:lvlJc w:val="left"/>
      <w:pPr>
        <w:ind w:left="780" w:hanging="360"/>
      </w:pPr>
      <w:rPr>
        <w:rFonts w:ascii="Arial" w:eastAsia="Times New Roman" w:hAnsi="Aria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16225A"/>
    <w:multiLevelType w:val="hybridMultilevel"/>
    <w:tmpl w:val="088AF692"/>
    <w:lvl w:ilvl="0" w:tplc="04070003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3853"/>
    <w:multiLevelType w:val="hybridMultilevel"/>
    <w:tmpl w:val="05E20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82056"/>
    <w:multiLevelType w:val="hybridMultilevel"/>
    <w:tmpl w:val="1AC6A21C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577C7127"/>
    <w:multiLevelType w:val="hybridMultilevel"/>
    <w:tmpl w:val="5F6C4E5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A12D1"/>
    <w:multiLevelType w:val="hybridMultilevel"/>
    <w:tmpl w:val="426CBFE2"/>
    <w:lvl w:ilvl="0" w:tplc="04070003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F17C7"/>
    <w:multiLevelType w:val="multilevel"/>
    <w:tmpl w:val="E6C4913E"/>
    <w:styleLink w:val="Anstrich"/>
    <w:lvl w:ilvl="0">
      <w:start w:val="1"/>
      <w:numFmt w:val="bullet"/>
      <w:pStyle w:val="AnstrichTabelle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E771D"/>
    <w:multiLevelType w:val="hybridMultilevel"/>
    <w:tmpl w:val="56508DFE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47EDC"/>
    <w:multiLevelType w:val="hybridMultilevel"/>
    <w:tmpl w:val="BA8C0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23A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9B5ECB"/>
    <w:multiLevelType w:val="hybridMultilevel"/>
    <w:tmpl w:val="DA62A4C4"/>
    <w:lvl w:ilvl="0" w:tplc="EC1A5C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9"/>
  </w:num>
  <w:num w:numId="5">
    <w:abstractNumId w:val="7"/>
  </w:num>
  <w:num w:numId="6">
    <w:abstractNumId w:val="22"/>
  </w:num>
  <w:num w:numId="7">
    <w:abstractNumId w:val="5"/>
  </w:num>
  <w:num w:numId="8">
    <w:abstractNumId w:val="17"/>
  </w:num>
  <w:num w:numId="9">
    <w:abstractNumId w:val="9"/>
  </w:num>
  <w:num w:numId="10">
    <w:abstractNumId w:val="16"/>
  </w:num>
  <w:num w:numId="11">
    <w:abstractNumId w:val="11"/>
  </w:num>
  <w:num w:numId="12">
    <w:abstractNumId w:val="14"/>
  </w:num>
  <w:num w:numId="13">
    <w:abstractNumId w:val="21"/>
  </w:num>
  <w:num w:numId="14">
    <w:abstractNumId w:val="9"/>
    <w:lvlOverride w:ilvl="0">
      <w:lvl w:ilvl="0">
        <w:start w:val="1"/>
        <w:numFmt w:val="bullet"/>
        <w:pStyle w:val="AnstrichTabelle"/>
        <w:lvlText w:val=""/>
        <w:lvlJc w:val="left"/>
        <w:pPr>
          <w:tabs>
            <w:tab w:val="num" w:pos="357"/>
          </w:tabs>
          <w:ind w:left="357" w:hanging="357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5">
    <w:abstractNumId w:val="9"/>
    <w:lvlOverride w:ilvl="0">
      <w:lvl w:ilvl="0">
        <w:start w:val="1"/>
        <w:numFmt w:val="bullet"/>
        <w:pStyle w:val="AnstrichTabelle"/>
        <w:lvlText w:val=""/>
        <w:lvlJc w:val="left"/>
        <w:pPr>
          <w:tabs>
            <w:tab w:val="num" w:pos="357"/>
          </w:tabs>
          <w:ind w:left="357" w:hanging="357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8"/>
  </w:num>
  <w:num w:numId="23">
    <w:abstractNumId w:val="9"/>
  </w:num>
  <w:num w:numId="24">
    <w:abstractNumId w:val="1"/>
  </w:num>
  <w:num w:numId="25">
    <w:abstractNumId w:val="20"/>
  </w:num>
  <w:num w:numId="26">
    <w:abstractNumId w:val="0"/>
  </w:num>
  <w:num w:numId="27">
    <w:abstractNumId w:val="13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15"/>
  </w:num>
  <w:num w:numId="38">
    <w:abstractNumId w:val="1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A"/>
    <w:rsid w:val="00030725"/>
    <w:rsid w:val="00035A21"/>
    <w:rsid w:val="000B00E2"/>
    <w:rsid w:val="00161628"/>
    <w:rsid w:val="00183987"/>
    <w:rsid w:val="001B55C9"/>
    <w:rsid w:val="001F279A"/>
    <w:rsid w:val="001F6CA8"/>
    <w:rsid w:val="001F7937"/>
    <w:rsid w:val="00212598"/>
    <w:rsid w:val="002D6648"/>
    <w:rsid w:val="002E6E8B"/>
    <w:rsid w:val="0030126D"/>
    <w:rsid w:val="00332640"/>
    <w:rsid w:val="00386AC0"/>
    <w:rsid w:val="00397FE3"/>
    <w:rsid w:val="00426853"/>
    <w:rsid w:val="004473F2"/>
    <w:rsid w:val="004A5573"/>
    <w:rsid w:val="004A5865"/>
    <w:rsid w:val="004C2012"/>
    <w:rsid w:val="005365DA"/>
    <w:rsid w:val="00585010"/>
    <w:rsid w:val="006116D0"/>
    <w:rsid w:val="00653A8E"/>
    <w:rsid w:val="00676D04"/>
    <w:rsid w:val="006B7024"/>
    <w:rsid w:val="006E21AC"/>
    <w:rsid w:val="006F691A"/>
    <w:rsid w:val="00743B91"/>
    <w:rsid w:val="0075178A"/>
    <w:rsid w:val="00792033"/>
    <w:rsid w:val="007B333E"/>
    <w:rsid w:val="00825F8C"/>
    <w:rsid w:val="0087284D"/>
    <w:rsid w:val="0088611F"/>
    <w:rsid w:val="008C0F17"/>
    <w:rsid w:val="009723ED"/>
    <w:rsid w:val="00A00020"/>
    <w:rsid w:val="00A45FAC"/>
    <w:rsid w:val="00A72865"/>
    <w:rsid w:val="00A83306"/>
    <w:rsid w:val="00AE04B0"/>
    <w:rsid w:val="00B07A9E"/>
    <w:rsid w:val="00B33A7F"/>
    <w:rsid w:val="00B36491"/>
    <w:rsid w:val="00B649B7"/>
    <w:rsid w:val="00BE0FC0"/>
    <w:rsid w:val="00BE5348"/>
    <w:rsid w:val="00C16702"/>
    <w:rsid w:val="00C236FB"/>
    <w:rsid w:val="00C645A9"/>
    <w:rsid w:val="00C9497A"/>
    <w:rsid w:val="00D76A90"/>
    <w:rsid w:val="00E26A57"/>
    <w:rsid w:val="00EF4603"/>
    <w:rsid w:val="00EF56A2"/>
    <w:rsid w:val="00F0152C"/>
    <w:rsid w:val="00F44051"/>
    <w:rsid w:val="00F775D8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5573"/>
    <w:pPr>
      <w:ind w:left="720"/>
      <w:contextualSpacing/>
    </w:pPr>
  </w:style>
  <w:style w:type="numbering" w:customStyle="1" w:styleId="Anstrich">
    <w:name w:val="Anstrich"/>
    <w:basedOn w:val="KeineListe"/>
    <w:rsid w:val="004A5573"/>
    <w:pPr>
      <w:numPr>
        <w:numId w:val="8"/>
      </w:numPr>
    </w:pPr>
  </w:style>
  <w:style w:type="paragraph" w:customStyle="1" w:styleId="AnstrichTabelle">
    <w:name w:val="Anstrich Tabelle"/>
    <w:basedOn w:val="Standard"/>
    <w:link w:val="AnstrichTabelleZchn"/>
    <w:rsid w:val="004A5573"/>
    <w:pPr>
      <w:numPr>
        <w:numId w:val="9"/>
      </w:numPr>
      <w:spacing w:line="240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AnstrichTabelleZchn">
    <w:name w:val="Anstrich Tabelle Zchn"/>
    <w:link w:val="AnstrichTabelle"/>
    <w:rsid w:val="004A5573"/>
    <w:rPr>
      <w:rFonts w:ascii="Arial" w:eastAsia="Times New Roman" w:hAnsi="Arial" w:cs="Times New Roman"/>
      <w:szCs w:val="24"/>
      <w:lang w:eastAsia="de-DE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B07A9E"/>
    <w:pPr>
      <w:numPr>
        <w:numId w:val="12"/>
      </w:numPr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4473F2"/>
    <w:p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473F2"/>
    <w:rPr>
      <w:rFonts w:ascii="Arial" w:eastAsia="Times New Roman" w:hAnsi="Arial" w:cs="Times New Roman"/>
      <w:lang w:eastAsia="de-DE"/>
    </w:rPr>
  </w:style>
  <w:style w:type="paragraph" w:styleId="KeinLeerraum">
    <w:name w:val="No Spacing"/>
    <w:qFormat/>
    <w:rsid w:val="00B36491"/>
    <w:pPr>
      <w:spacing w:after="0" w:line="240" w:lineRule="auto"/>
    </w:pPr>
    <w:rPr>
      <w:rFonts w:ascii="Arial" w:eastAsia="Calibri" w:hAnsi="Arial" w:cs="Times New Roman"/>
      <w:sz w:val="32"/>
    </w:rPr>
  </w:style>
  <w:style w:type="paragraph" w:customStyle="1" w:styleId="unteraufgabe">
    <w:name w:val="unteraufgabe"/>
    <w:basedOn w:val="Standard"/>
    <w:rsid w:val="00B36491"/>
    <w:pPr>
      <w:tabs>
        <w:tab w:val="left" w:pos="567"/>
      </w:tabs>
      <w:spacing w:before="120" w:line="240" w:lineRule="auto"/>
      <w:ind w:left="567"/>
      <w:jc w:val="both"/>
    </w:pPr>
    <w:rPr>
      <w:rFonts w:eastAsia="Times New Roman" w:cs="Arial"/>
      <w:szCs w:val="24"/>
      <w:lang w:eastAsia="de-DE"/>
    </w:rPr>
  </w:style>
  <w:style w:type="paragraph" w:customStyle="1" w:styleId="Anstrich2">
    <w:name w:val="Anstrich2"/>
    <w:rsid w:val="00B36491"/>
    <w:pPr>
      <w:numPr>
        <w:numId w:val="40"/>
      </w:numPr>
      <w:tabs>
        <w:tab w:val="left" w:pos="964"/>
        <w:tab w:val="left" w:pos="1134"/>
      </w:tabs>
      <w:spacing w:line="240" w:lineRule="auto"/>
    </w:pPr>
    <w:rPr>
      <w:rFonts w:ascii="Arial" w:hAnsi="Arial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5573"/>
    <w:pPr>
      <w:ind w:left="720"/>
      <w:contextualSpacing/>
    </w:pPr>
  </w:style>
  <w:style w:type="numbering" w:customStyle="1" w:styleId="Anstrich">
    <w:name w:val="Anstrich"/>
    <w:basedOn w:val="KeineListe"/>
    <w:rsid w:val="004A5573"/>
    <w:pPr>
      <w:numPr>
        <w:numId w:val="8"/>
      </w:numPr>
    </w:pPr>
  </w:style>
  <w:style w:type="paragraph" w:customStyle="1" w:styleId="AnstrichTabelle">
    <w:name w:val="Anstrich Tabelle"/>
    <w:basedOn w:val="Standard"/>
    <w:link w:val="AnstrichTabelleZchn"/>
    <w:rsid w:val="004A5573"/>
    <w:pPr>
      <w:numPr>
        <w:numId w:val="9"/>
      </w:numPr>
      <w:spacing w:line="240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AnstrichTabelleZchn">
    <w:name w:val="Anstrich Tabelle Zchn"/>
    <w:link w:val="AnstrichTabelle"/>
    <w:rsid w:val="004A5573"/>
    <w:rPr>
      <w:rFonts w:ascii="Arial" w:eastAsia="Times New Roman" w:hAnsi="Arial" w:cs="Times New Roman"/>
      <w:szCs w:val="24"/>
      <w:lang w:eastAsia="de-DE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B07A9E"/>
    <w:pPr>
      <w:numPr>
        <w:numId w:val="12"/>
      </w:numPr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4473F2"/>
    <w:p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473F2"/>
    <w:rPr>
      <w:rFonts w:ascii="Arial" w:eastAsia="Times New Roman" w:hAnsi="Arial" w:cs="Times New Roman"/>
      <w:lang w:eastAsia="de-DE"/>
    </w:rPr>
  </w:style>
  <w:style w:type="paragraph" w:styleId="KeinLeerraum">
    <w:name w:val="No Spacing"/>
    <w:qFormat/>
    <w:rsid w:val="00B36491"/>
    <w:pPr>
      <w:spacing w:after="0" w:line="240" w:lineRule="auto"/>
    </w:pPr>
    <w:rPr>
      <w:rFonts w:ascii="Arial" w:eastAsia="Calibri" w:hAnsi="Arial" w:cs="Times New Roman"/>
      <w:sz w:val="32"/>
    </w:rPr>
  </w:style>
  <w:style w:type="paragraph" w:customStyle="1" w:styleId="unteraufgabe">
    <w:name w:val="unteraufgabe"/>
    <w:basedOn w:val="Standard"/>
    <w:rsid w:val="00B36491"/>
    <w:pPr>
      <w:tabs>
        <w:tab w:val="left" w:pos="567"/>
      </w:tabs>
      <w:spacing w:before="120" w:line="240" w:lineRule="auto"/>
      <w:ind w:left="567"/>
      <w:jc w:val="both"/>
    </w:pPr>
    <w:rPr>
      <w:rFonts w:eastAsia="Times New Roman" w:cs="Arial"/>
      <w:szCs w:val="24"/>
      <w:lang w:eastAsia="de-DE"/>
    </w:rPr>
  </w:style>
  <w:style w:type="paragraph" w:customStyle="1" w:styleId="Anstrich2">
    <w:name w:val="Anstrich2"/>
    <w:rsid w:val="00B36491"/>
    <w:pPr>
      <w:numPr>
        <w:numId w:val="40"/>
      </w:numPr>
      <w:tabs>
        <w:tab w:val="left" w:pos="964"/>
        <w:tab w:val="left" w:pos="1134"/>
      </w:tabs>
      <w:spacing w:line="240" w:lineRule="auto"/>
    </w:pPr>
    <w:rPr>
      <w:rFonts w:ascii="Arial" w:hAnsi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sa/3.0/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bfr.bund.de/cm/343/aluminiumhaltige-antitranspirantien-tragen-zur-aufnahme-von-aluminium-bei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tthias.poetter@lisa.mb.sachsen-anhalt.d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F258-1B54-450D-AE75-6BDAC37A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15</cp:revision>
  <cp:lastPrinted>2016-06-23T13:18:00Z</cp:lastPrinted>
  <dcterms:created xsi:type="dcterms:W3CDTF">2016-06-30T09:22:00Z</dcterms:created>
  <dcterms:modified xsi:type="dcterms:W3CDTF">2016-09-20T12:35:00Z</dcterms:modified>
</cp:coreProperties>
</file>