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5FAC" w:rsidTr="00A45FAC">
        <w:tc>
          <w:tcPr>
            <w:tcW w:w="9212" w:type="dxa"/>
            <w:shd w:val="clear" w:color="auto" w:fill="006600"/>
          </w:tcPr>
          <w:p w:rsidR="00A45FAC" w:rsidRDefault="00A45FAC" w:rsidP="0075178A">
            <w:pPr>
              <w:spacing w:before="24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bookmarkStart w:id="0" w:name="_Toc443479823"/>
            <w:r w:rsidRPr="00A45FAC">
              <w:rPr>
                <w:b/>
                <w:color w:val="FFFFFF" w:themeColor="background1"/>
                <w:sz w:val="32"/>
                <w:szCs w:val="32"/>
              </w:rPr>
              <w:t xml:space="preserve">Niveaubestimmende Aufgabe zum Fachlehrplan </w:t>
            </w:r>
            <w:r w:rsidR="008C0F17">
              <w:rPr>
                <w:b/>
                <w:color w:val="FFFFFF" w:themeColor="background1"/>
                <w:sz w:val="32"/>
                <w:szCs w:val="32"/>
              </w:rPr>
              <w:t xml:space="preserve">Chemie </w:t>
            </w:r>
            <w:r w:rsidRPr="00A45FAC">
              <w:rPr>
                <w:b/>
                <w:color w:val="FFFFFF" w:themeColor="background1"/>
                <w:sz w:val="32"/>
                <w:szCs w:val="32"/>
              </w:rPr>
              <w:t>Gymnasium</w:t>
            </w:r>
          </w:p>
          <w:p w:rsidR="00A45FAC" w:rsidRDefault="00A45FAC" w:rsidP="0075178A">
            <w:pPr>
              <w:spacing w:line="240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7B333E" w:rsidRPr="007B333E" w:rsidRDefault="004473F2" w:rsidP="007B333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715E3">
              <w:rPr>
                <w:sz w:val="24"/>
                <w:szCs w:val="24"/>
              </w:rPr>
              <w:t>„Deo-Kristalle“ untersuchen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A45FAC" w:rsidRPr="00A45FAC" w:rsidRDefault="007B333E" w:rsidP="007B333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45FAC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4473F2">
              <w:rPr>
                <w:color w:val="FFFFFF" w:themeColor="background1"/>
                <w:sz w:val="28"/>
                <w:szCs w:val="28"/>
              </w:rPr>
              <w:t>(Schuljahrga</w:t>
            </w:r>
            <w:r w:rsidR="00A45FAC" w:rsidRPr="00A45FAC">
              <w:rPr>
                <w:color w:val="FFFFFF" w:themeColor="background1"/>
                <w:sz w:val="28"/>
                <w:szCs w:val="28"/>
              </w:rPr>
              <w:t xml:space="preserve">ng </w:t>
            </w:r>
            <w:r w:rsidR="004473F2">
              <w:rPr>
                <w:color w:val="FFFFFF" w:themeColor="background1"/>
                <w:sz w:val="28"/>
                <w:szCs w:val="28"/>
              </w:rPr>
              <w:t>10</w:t>
            </w:r>
            <w:r w:rsidR="00A45FAC" w:rsidRPr="00A45FAC">
              <w:rPr>
                <w:color w:val="FFFFFF" w:themeColor="background1"/>
                <w:sz w:val="28"/>
                <w:szCs w:val="28"/>
              </w:rPr>
              <w:t>)</w:t>
            </w:r>
          </w:p>
          <w:p w:rsidR="00A45FAC" w:rsidRPr="00A45FAC" w:rsidRDefault="00A45FAC" w:rsidP="00A45FAC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A45FAC" w:rsidRDefault="00A45FAC" w:rsidP="004A5573">
            <w:pPr>
              <w:jc w:val="center"/>
              <w:rPr>
                <w:lang w:eastAsia="de-DE"/>
              </w:rPr>
            </w:pPr>
            <w:r w:rsidRPr="00A45FAC">
              <w:rPr>
                <w:color w:val="FFFFFF" w:themeColor="background1"/>
                <w:sz w:val="24"/>
              </w:rPr>
              <w:t xml:space="preserve">(Arbeitsstand: </w:t>
            </w:r>
            <w:r w:rsidR="004A5573">
              <w:rPr>
                <w:color w:val="FFFFFF" w:themeColor="background1"/>
                <w:sz w:val="24"/>
              </w:rPr>
              <w:t>29.7.2016)</w:t>
            </w:r>
          </w:p>
        </w:tc>
      </w:tr>
    </w:tbl>
    <w:p w:rsidR="00A45FAC" w:rsidRDefault="00A45FAC" w:rsidP="00332640">
      <w:pPr>
        <w:pBdr>
          <w:top w:val="single" w:sz="4" w:space="0" w:color="auto"/>
        </w:pBdr>
        <w:spacing w:line="240" w:lineRule="auto"/>
        <w:rPr>
          <w:lang w:eastAsia="de-DE"/>
        </w:rPr>
      </w:pPr>
    </w:p>
    <w:p w:rsidR="00743B91" w:rsidRDefault="00743B91" w:rsidP="00332640">
      <w:pPr>
        <w:spacing w:line="240" w:lineRule="auto"/>
        <w:jc w:val="both"/>
        <w:rPr>
          <w:lang w:eastAsia="de-DE"/>
        </w:rPr>
      </w:pPr>
      <w:r>
        <w:rPr>
          <w:lang w:eastAsia="de-DE"/>
        </w:rPr>
        <w:t>Niveaubestimmende Aufgaben sind Bestandteil des Lehrplankonzeptes für das Gymnasium und das Fachgymnasium.</w:t>
      </w:r>
      <w:r w:rsidR="00653A8E">
        <w:rPr>
          <w:lang w:eastAsia="de-DE"/>
        </w:rPr>
        <w:t xml:space="preserve"> Die nachfolgende Aufgabe soll Grundlage unterrichtlicher Erpr</w:t>
      </w:r>
      <w:r w:rsidR="00653A8E">
        <w:rPr>
          <w:lang w:eastAsia="de-DE"/>
        </w:rPr>
        <w:t>o</w:t>
      </w:r>
      <w:r w:rsidR="00653A8E">
        <w:rPr>
          <w:lang w:eastAsia="de-DE"/>
        </w:rPr>
        <w:t xml:space="preserve">bung sein. Rückmeldungen, Hinweise, Anregungen und Vorschläge zur Weiterentwicklung der Aufgabe senden Sie bitte über die Eingabemaske </w:t>
      </w:r>
      <w:r w:rsidR="00A45FAC">
        <w:rPr>
          <w:lang w:eastAsia="de-DE"/>
        </w:rPr>
        <w:t>(</w:t>
      </w:r>
      <w:r w:rsidR="00653A8E">
        <w:rPr>
          <w:lang w:eastAsia="de-DE"/>
        </w:rPr>
        <w:t>Bildungsserver</w:t>
      </w:r>
      <w:r w:rsidR="00A45FAC">
        <w:rPr>
          <w:lang w:eastAsia="de-DE"/>
        </w:rPr>
        <w:t>)</w:t>
      </w:r>
      <w:r w:rsidR="00B07A9E">
        <w:rPr>
          <w:lang w:eastAsia="de-DE"/>
        </w:rPr>
        <w:t xml:space="preserve"> oder direkt an </w:t>
      </w:r>
      <w:hyperlink r:id="rId9" w:history="1">
        <w:r w:rsidR="00B07A9E" w:rsidRPr="00E37C7D">
          <w:rPr>
            <w:rStyle w:val="Hyperlink"/>
            <w:rFonts w:ascii="Arial" w:hAnsi="Arial" w:cstheme="minorBidi"/>
            <w:lang w:eastAsia="de-DE"/>
          </w:rPr>
          <w:t>matthias.poetter@lisa.mb.sachsen-anhalt.de</w:t>
        </w:r>
      </w:hyperlink>
      <w:r w:rsidR="00B07A9E">
        <w:rPr>
          <w:lang w:eastAsia="de-DE"/>
        </w:rPr>
        <w:t xml:space="preserve">. </w:t>
      </w:r>
    </w:p>
    <w:p w:rsidR="00743B91" w:rsidRDefault="00743B91" w:rsidP="00332640">
      <w:pPr>
        <w:spacing w:line="240" w:lineRule="auto"/>
        <w:rPr>
          <w:lang w:eastAsia="de-DE"/>
        </w:rPr>
      </w:pPr>
    </w:p>
    <w:p w:rsidR="00743B91" w:rsidRDefault="00743B91" w:rsidP="004A5573">
      <w:pPr>
        <w:tabs>
          <w:tab w:val="left" w:pos="4140"/>
        </w:tabs>
        <w:rPr>
          <w:lang w:eastAsia="de-DE"/>
        </w:rPr>
      </w:pPr>
      <w:r>
        <w:rPr>
          <w:lang w:eastAsia="de-DE"/>
        </w:rPr>
        <w:t xml:space="preserve">An der Erarbeitung der </w:t>
      </w:r>
      <w:r w:rsidRPr="004A5573">
        <w:rPr>
          <w:rFonts w:cs="Arial"/>
        </w:rPr>
        <w:t>niveaubestimmenden</w:t>
      </w:r>
      <w:r>
        <w:rPr>
          <w:lang w:eastAsia="de-DE"/>
        </w:rPr>
        <w:t xml:space="preserve"> Aufgabe haben mitgewirkt:</w:t>
      </w:r>
    </w:p>
    <w:p w:rsidR="00743B91" w:rsidRPr="0004413B" w:rsidRDefault="004A5573" w:rsidP="004A5573">
      <w:pPr>
        <w:tabs>
          <w:tab w:val="left" w:pos="4140"/>
        </w:tabs>
        <w:rPr>
          <w:rFonts w:cs="Arial"/>
          <w:color w:val="000000" w:themeColor="text1"/>
        </w:rPr>
      </w:pPr>
      <w:r w:rsidRPr="00A063FA">
        <w:rPr>
          <w:rFonts w:cs="Arial"/>
        </w:rPr>
        <w:t>Dr. Pötter, Matthias</w:t>
      </w:r>
      <w:r w:rsidR="00743B91" w:rsidRPr="0004413B">
        <w:rPr>
          <w:rFonts w:cs="Arial"/>
          <w:color w:val="000000" w:themeColor="text1"/>
        </w:rPr>
        <w:tab/>
        <w:t>Halle (Leitung der Fach</w:t>
      </w:r>
      <w:r w:rsidR="00743B91">
        <w:rPr>
          <w:rFonts w:cs="Arial"/>
          <w:color w:val="000000" w:themeColor="text1"/>
        </w:rPr>
        <w:t>gruppe</w:t>
      </w:r>
      <w:r w:rsidR="00743B91" w:rsidRPr="0004413B">
        <w:rPr>
          <w:rFonts w:cs="Arial"/>
          <w:color w:val="000000" w:themeColor="text1"/>
        </w:rPr>
        <w:t>)</w:t>
      </w:r>
    </w:p>
    <w:p w:rsidR="004A5573" w:rsidRPr="00A063FA" w:rsidRDefault="004A5573" w:rsidP="004A5573">
      <w:pPr>
        <w:tabs>
          <w:tab w:val="left" w:pos="4140"/>
        </w:tabs>
        <w:rPr>
          <w:rFonts w:cs="Arial"/>
        </w:rPr>
      </w:pPr>
      <w:r w:rsidRPr="00A063FA">
        <w:rPr>
          <w:rFonts w:cs="Arial"/>
        </w:rPr>
        <w:t>Lindau, Claudia</w:t>
      </w:r>
      <w:r w:rsidRPr="00A063FA">
        <w:rPr>
          <w:rFonts w:cs="Arial"/>
        </w:rPr>
        <w:tab/>
        <w:t>Schulpforte</w:t>
      </w:r>
    </w:p>
    <w:p w:rsidR="004A5573" w:rsidRPr="00A063FA" w:rsidRDefault="004A5573" w:rsidP="004A5573">
      <w:pPr>
        <w:tabs>
          <w:tab w:val="left" w:pos="4140"/>
        </w:tabs>
        <w:rPr>
          <w:rFonts w:cs="Arial"/>
        </w:rPr>
      </w:pPr>
      <w:r w:rsidRPr="00A063FA">
        <w:rPr>
          <w:rFonts w:cs="Arial"/>
        </w:rPr>
        <w:t>Röder, Johannes</w:t>
      </w:r>
      <w:r w:rsidRPr="00A063FA">
        <w:rPr>
          <w:rFonts w:cs="Arial"/>
        </w:rPr>
        <w:tab/>
        <w:t xml:space="preserve">Wittenberg </w:t>
      </w:r>
    </w:p>
    <w:p w:rsidR="004A5573" w:rsidRPr="00A063FA" w:rsidRDefault="004A5573" w:rsidP="004A5573">
      <w:pPr>
        <w:tabs>
          <w:tab w:val="left" w:pos="4140"/>
        </w:tabs>
        <w:rPr>
          <w:rFonts w:cs="Arial"/>
        </w:rPr>
      </w:pPr>
      <w:r w:rsidRPr="00A063FA">
        <w:rPr>
          <w:rFonts w:cs="Arial"/>
        </w:rPr>
        <w:t xml:space="preserve">Von Alten, Birgit </w:t>
      </w:r>
      <w:r w:rsidRPr="00A063FA">
        <w:rPr>
          <w:rFonts w:cs="Arial"/>
        </w:rPr>
        <w:tab/>
        <w:t>Halberstadt</w:t>
      </w:r>
    </w:p>
    <w:p w:rsidR="004A5573" w:rsidRPr="00A063FA" w:rsidRDefault="004A5573" w:rsidP="004A5573">
      <w:pPr>
        <w:tabs>
          <w:tab w:val="left" w:pos="4140"/>
        </w:tabs>
        <w:rPr>
          <w:rFonts w:cs="Arial"/>
        </w:rPr>
      </w:pPr>
      <w:r w:rsidRPr="00A063FA">
        <w:rPr>
          <w:rFonts w:cs="Arial"/>
        </w:rPr>
        <w:t>Zander, Steffen</w:t>
      </w:r>
      <w:r w:rsidRPr="00A063FA">
        <w:rPr>
          <w:rFonts w:cs="Arial"/>
        </w:rPr>
        <w:tab/>
        <w:t>Köthen</w:t>
      </w:r>
    </w:p>
    <w:p w:rsidR="00743B91" w:rsidRDefault="00743B91" w:rsidP="00332640">
      <w:pPr>
        <w:spacing w:line="240" w:lineRule="auto"/>
      </w:pPr>
    </w:p>
    <w:p w:rsidR="00743B91" w:rsidRDefault="00743B91" w:rsidP="00332640">
      <w:pPr>
        <w:spacing w:line="240" w:lineRule="auto"/>
      </w:pPr>
      <w:r>
        <w:t>Herausgeber im Auftrag des Ministeriums für Bildung des Landes Sachsen-Anhalt:</w:t>
      </w:r>
    </w:p>
    <w:p w:rsidR="00743B91" w:rsidRDefault="00743B91" w:rsidP="00332640">
      <w:pPr>
        <w:spacing w:line="240" w:lineRule="auto"/>
        <w:ind w:left="1560" w:right="2125"/>
      </w:pPr>
      <w:r>
        <w:t>Landesinstitut für Schulqualität und Lehrerbildung Sachsen-Anhalt</w:t>
      </w:r>
    </w:p>
    <w:p w:rsidR="00743B91" w:rsidRDefault="00743B91" w:rsidP="00332640">
      <w:pPr>
        <w:spacing w:line="240" w:lineRule="auto"/>
        <w:ind w:left="1560" w:right="2125"/>
      </w:pPr>
      <w:r>
        <w:t>Riebeckplatz 09</w:t>
      </w:r>
    </w:p>
    <w:p w:rsidR="00743B91" w:rsidRDefault="00743B91" w:rsidP="00332640">
      <w:pPr>
        <w:spacing w:line="240" w:lineRule="auto"/>
        <w:ind w:left="1560" w:right="2125"/>
      </w:pPr>
      <w:r>
        <w:t>06110 Halle</w:t>
      </w:r>
    </w:p>
    <w:p w:rsidR="00743B91" w:rsidRDefault="00743B91" w:rsidP="00332640">
      <w:pPr>
        <w:spacing w:line="240" w:lineRule="auto"/>
        <w:ind w:left="1560"/>
      </w:pPr>
    </w:p>
    <w:bookmarkEnd w:id="0"/>
    <w:p w:rsidR="00332640" w:rsidRDefault="00332640" w:rsidP="00332640">
      <w:pPr>
        <w:spacing w:line="240" w:lineRule="auto"/>
      </w:pPr>
    </w:p>
    <w:p w:rsidR="00332640" w:rsidRDefault="00332640" w:rsidP="00332640">
      <w:pPr>
        <w:spacing w:line="240" w:lineRule="auto"/>
      </w:pPr>
      <w:r>
        <w:rPr>
          <w:noProof/>
          <w:lang w:eastAsia="de-DE"/>
        </w:rPr>
        <w:drawing>
          <wp:inline distT="0" distB="0" distL="0" distR="0" wp14:anchorId="68276471" wp14:editId="4A45256E">
            <wp:extent cx="1193800" cy="787400"/>
            <wp:effectExtent l="0" t="0" r="6350" b="0"/>
            <wp:docPr id="3" name="Grafik 3" descr="publikationen$:Image_Presse:CC-OER:OER-Logo S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publikationen$:Image_Presse:CC-OER:OER-Logo SW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72" w:rsidRPr="0088254A" w:rsidRDefault="00932472" w:rsidP="00932472">
      <w:pPr>
        <w:spacing w:line="240" w:lineRule="auto"/>
        <w:jc w:val="both"/>
        <w:rPr>
          <w:rFonts w:eastAsia="Calibri" w:cs="Times New Roman"/>
          <w:sz w:val="20"/>
          <w:szCs w:val="20"/>
        </w:rPr>
      </w:pPr>
      <w:r w:rsidRPr="0088254A">
        <w:rPr>
          <w:rFonts w:eastAsia="Calibri" w:cs="Times New Roman"/>
          <w:sz w:val="20"/>
          <w:szCs w:val="20"/>
        </w:rPr>
        <w:t xml:space="preserve">Die vorliegende Publikation, </w:t>
      </w:r>
      <w:r w:rsidRPr="0088254A">
        <w:rPr>
          <w:rFonts w:cs="Arial"/>
          <w:iCs/>
          <w:sz w:val="20"/>
          <w:szCs w:val="20"/>
        </w:rPr>
        <w:t>mit Ausnahme der Quellen Dritter,</w:t>
      </w:r>
      <w:r w:rsidRPr="0088254A">
        <w:rPr>
          <w:rFonts w:eastAsia="Calibri" w:cs="Times New Roman"/>
          <w:sz w:val="20"/>
          <w:szCs w:val="20"/>
        </w:rPr>
        <w:t xml:space="preserve"> ist unter der „Creative Commons“-Lizenz veröffentlicht.</w:t>
      </w:r>
    </w:p>
    <w:p w:rsidR="00932472" w:rsidRPr="0088254A" w:rsidRDefault="00932472" w:rsidP="00932472">
      <w:pPr>
        <w:spacing w:before="60" w:line="240" w:lineRule="auto"/>
        <w:jc w:val="both"/>
        <w:rPr>
          <w:rFonts w:eastAsia="Calibri" w:cs="Arial"/>
          <w:sz w:val="20"/>
          <w:szCs w:val="20"/>
        </w:rPr>
      </w:pPr>
    </w:p>
    <w:p w:rsidR="00932472" w:rsidRPr="003F24EB" w:rsidRDefault="00932472" w:rsidP="00932472">
      <w:pPr>
        <w:spacing w:line="240" w:lineRule="auto"/>
        <w:jc w:val="both"/>
        <w:rPr>
          <w:rFonts w:eastAsia="Calibri" w:cs="Arial"/>
          <w:color w:val="0000FF"/>
          <w:sz w:val="20"/>
          <w:szCs w:val="20"/>
          <w:u w:val="single"/>
          <w:lang w:val="en-US"/>
        </w:rPr>
      </w:pPr>
      <w:r w:rsidRPr="0088254A">
        <w:rPr>
          <w:rFonts w:eastAsia="Calibri" w:cs="Arial"/>
          <w:noProof/>
          <w:sz w:val="20"/>
          <w:szCs w:val="20"/>
          <w:lang w:eastAsia="de-DE"/>
        </w:rPr>
        <w:drawing>
          <wp:inline distT="0" distB="0" distL="0" distR="0" wp14:anchorId="49EEBC3E" wp14:editId="66B88052">
            <wp:extent cx="141800" cy="141800"/>
            <wp:effectExtent l="0" t="0" r="10795" b="10795"/>
            <wp:docPr id="2" name="Grafik 2" descr="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C b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0" cy="1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54A">
        <w:rPr>
          <w:rFonts w:eastAsia="Calibri" w:cs="Arial"/>
          <w:noProof/>
          <w:sz w:val="20"/>
          <w:szCs w:val="20"/>
          <w:lang w:eastAsia="de-DE"/>
        </w:rPr>
        <w:drawing>
          <wp:inline distT="0" distB="0" distL="0" distR="0" wp14:anchorId="4F1FB5E9" wp14:editId="0E92899C">
            <wp:extent cx="141800" cy="141800"/>
            <wp:effectExtent l="0" t="0" r="10795" b="10795"/>
            <wp:docPr id="4" name="Grafik 4" descr="C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 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0" cy="1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4EB">
        <w:rPr>
          <w:rFonts w:eastAsia="Calibri" w:cs="Arial"/>
          <w:sz w:val="20"/>
          <w:szCs w:val="20"/>
          <w:lang w:val="en-US"/>
        </w:rPr>
        <w:t xml:space="preserve"> CC BY-SA 3.0 DE </w:t>
      </w:r>
      <w:r w:rsidRPr="003F24EB">
        <w:rPr>
          <w:rFonts w:eastAsia="Calibri" w:cs="Arial"/>
          <w:sz w:val="20"/>
          <w:szCs w:val="20"/>
          <w:lang w:val="en-US"/>
        </w:rPr>
        <w:tab/>
      </w:r>
      <w:hyperlink r:id="rId13" w:history="1">
        <w:r w:rsidRPr="003F24EB">
          <w:rPr>
            <w:rFonts w:eastAsia="Calibri" w:cs="Arial"/>
            <w:color w:val="0000FF"/>
            <w:sz w:val="20"/>
            <w:szCs w:val="20"/>
            <w:u w:val="single"/>
            <w:lang w:val="en-US"/>
          </w:rPr>
          <w:t>http://creativecommons.org/licenses/by-sa/3.0/de/</w:t>
        </w:r>
      </w:hyperlink>
    </w:p>
    <w:p w:rsidR="00932472" w:rsidRPr="003F24EB" w:rsidRDefault="00932472" w:rsidP="00932472">
      <w:pPr>
        <w:spacing w:before="60" w:line="240" w:lineRule="auto"/>
        <w:jc w:val="both"/>
        <w:rPr>
          <w:rFonts w:eastAsia="Calibri" w:cs="Arial"/>
          <w:sz w:val="20"/>
          <w:szCs w:val="20"/>
          <w:lang w:val="en-US"/>
        </w:rPr>
      </w:pPr>
    </w:p>
    <w:p w:rsidR="00932472" w:rsidRPr="0088254A" w:rsidRDefault="00932472" w:rsidP="009324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88254A">
        <w:rPr>
          <w:rFonts w:cs="Arial"/>
          <w:iCs/>
          <w:sz w:val="20"/>
          <w:szCs w:val="20"/>
        </w:rPr>
        <w:t>Sie dürfen das Material weiterverbreiten, bearbeiten, verändern und erweitern. Wenn Sie das Material oder Teile davon veröffentlichen, müssen Sie den Urheber nennen und kennzeichnen, welche Verä</w:t>
      </w:r>
      <w:r w:rsidRPr="0088254A">
        <w:rPr>
          <w:rFonts w:cs="Arial"/>
          <w:iCs/>
          <w:sz w:val="20"/>
          <w:szCs w:val="20"/>
        </w:rPr>
        <w:t>n</w:t>
      </w:r>
      <w:r w:rsidRPr="0088254A">
        <w:rPr>
          <w:rFonts w:cs="Arial"/>
          <w:iCs/>
          <w:sz w:val="20"/>
          <w:szCs w:val="20"/>
        </w:rPr>
        <w:t>derungen Sie vorgenommen haben. Sie müssen das Material und Veränderungen unter den gleichen Lizenzbedingungen weitergeben.</w:t>
      </w:r>
    </w:p>
    <w:p w:rsidR="00BD55CE" w:rsidRDefault="00932472" w:rsidP="00932472">
      <w:pPr>
        <w:spacing w:line="240" w:lineRule="auto"/>
        <w:jc w:val="both"/>
        <w:rPr>
          <w:rStyle w:val="Hyperlink"/>
          <w:sz w:val="20"/>
          <w:szCs w:val="20"/>
        </w:rPr>
      </w:pPr>
      <w:r w:rsidRPr="0088254A">
        <w:rPr>
          <w:rFonts w:cs="Arial"/>
          <w:iCs/>
          <w:sz w:val="20"/>
          <w:szCs w:val="20"/>
        </w:rPr>
        <w:t>Die Rechte für Fotos, Abbildungen und Zitate für Quellen Dritter bleiben bei den jeweiligen Rechtei</w:t>
      </w:r>
      <w:r w:rsidRPr="0088254A">
        <w:rPr>
          <w:rFonts w:cs="Arial"/>
          <w:iCs/>
          <w:sz w:val="20"/>
          <w:szCs w:val="20"/>
        </w:rPr>
        <w:t>n</w:t>
      </w:r>
      <w:r w:rsidRPr="0088254A">
        <w:rPr>
          <w:rFonts w:cs="Arial"/>
          <w:iCs/>
          <w:sz w:val="20"/>
          <w:szCs w:val="20"/>
        </w:rPr>
        <w:t>habern, diese Angaben können Sie de</w:t>
      </w:r>
      <w:r>
        <w:rPr>
          <w:rFonts w:cs="Arial"/>
          <w:iCs/>
          <w:sz w:val="20"/>
          <w:szCs w:val="20"/>
        </w:rPr>
        <w:t>n</w:t>
      </w:r>
      <w:r w:rsidRPr="0088254A">
        <w:rPr>
          <w:rFonts w:cs="Arial"/>
          <w:iCs/>
          <w:sz w:val="20"/>
          <w:szCs w:val="20"/>
        </w:rPr>
        <w:t xml:space="preserve"> Quellen</w:t>
      </w:r>
      <w:r>
        <w:rPr>
          <w:rFonts w:cs="Arial"/>
          <w:iCs/>
          <w:sz w:val="20"/>
          <w:szCs w:val="20"/>
        </w:rPr>
        <w:t xml:space="preserve"> </w:t>
      </w:r>
      <w:r w:rsidRPr="0088254A">
        <w:rPr>
          <w:rFonts w:cs="Arial"/>
          <w:iCs/>
          <w:sz w:val="20"/>
          <w:szCs w:val="20"/>
        </w:rPr>
        <w:t>entnehmen. Der Herausgeber hat sich intensiv b</w:t>
      </w:r>
      <w:r w:rsidRPr="0088254A">
        <w:rPr>
          <w:rFonts w:cs="Arial"/>
          <w:iCs/>
          <w:sz w:val="20"/>
          <w:szCs w:val="20"/>
        </w:rPr>
        <w:t>e</w:t>
      </w:r>
      <w:r w:rsidRPr="0088254A">
        <w:rPr>
          <w:rFonts w:cs="Arial"/>
          <w:iCs/>
          <w:sz w:val="20"/>
          <w:szCs w:val="20"/>
        </w:rPr>
        <w:t>müht, alle Inhaber von Rechten zu benennen. Falls Sie uns weitere Urheber und Rechteinhaber b</w:t>
      </w:r>
      <w:r w:rsidRPr="0088254A">
        <w:rPr>
          <w:rFonts w:cs="Arial"/>
          <w:iCs/>
          <w:sz w:val="20"/>
          <w:szCs w:val="20"/>
        </w:rPr>
        <w:t>e</w:t>
      </w:r>
      <w:r w:rsidRPr="0088254A">
        <w:rPr>
          <w:rFonts w:cs="Arial"/>
          <w:iCs/>
          <w:sz w:val="20"/>
          <w:szCs w:val="20"/>
        </w:rPr>
        <w:t>nennen können, würden wir uns über Ihren Hinweis freuen.</w:t>
      </w:r>
      <w:bookmarkStart w:id="1" w:name="_GoBack"/>
      <w:bookmarkEnd w:id="1"/>
      <w:r w:rsidR="00BD55CE">
        <w:rPr>
          <w:rStyle w:val="Hyperlink"/>
          <w:sz w:val="20"/>
          <w:szCs w:val="20"/>
        </w:rPr>
        <w:br w:type="page"/>
      </w:r>
    </w:p>
    <w:p w:rsidR="004473F2" w:rsidRPr="004473F2" w:rsidRDefault="004473F2" w:rsidP="004473F2">
      <w:pPr>
        <w:spacing w:before="60" w:after="60"/>
        <w:rPr>
          <w:b/>
          <w:sz w:val="24"/>
          <w:szCs w:val="24"/>
        </w:rPr>
      </w:pPr>
      <w:r w:rsidRPr="004473F2">
        <w:rPr>
          <w:b/>
          <w:sz w:val="24"/>
          <w:szCs w:val="24"/>
        </w:rPr>
        <w:lastRenderedPageBreak/>
        <w:t xml:space="preserve">Wir untersuchen „Deo-Kristalle“ </w:t>
      </w:r>
    </w:p>
    <w:p w:rsidR="004473F2" w:rsidRPr="00D4748D" w:rsidRDefault="004473F2" w:rsidP="004473F2">
      <w:pPr>
        <w:spacing w:before="60" w:after="60"/>
        <w:rPr>
          <w:rFonts w:cs="Arial"/>
          <w:b/>
        </w:rPr>
      </w:pPr>
      <w:r w:rsidRPr="00D4748D">
        <w:rPr>
          <w:rFonts w:cs="Arial"/>
          <w:b/>
        </w:rPr>
        <w:t>Material</w:t>
      </w:r>
      <w:r>
        <w:rPr>
          <w:rFonts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3065"/>
      </w:tblGrid>
      <w:tr w:rsidR="004473F2" w:rsidRPr="00A81AB7" w:rsidTr="003041F5">
        <w:tc>
          <w:tcPr>
            <w:tcW w:w="9462" w:type="dxa"/>
            <w:gridSpan w:val="2"/>
            <w:tcBorders>
              <w:bottom w:val="nil"/>
            </w:tcBorders>
            <w:shd w:val="clear" w:color="auto" w:fill="auto"/>
          </w:tcPr>
          <w:p w:rsidR="004473F2" w:rsidRPr="00A81AB7" w:rsidRDefault="004473F2" w:rsidP="003041F5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Deodorante sollen die Entwicklung abstoßender Körpergerüche verhindern, indem sie bakterielle Zersetzungsprozesse im Schweiß beseitigen oder überdecken:</w:t>
            </w:r>
          </w:p>
        </w:tc>
      </w:tr>
      <w:tr w:rsidR="004473F2" w:rsidRPr="00A81AB7" w:rsidTr="003041F5">
        <w:tc>
          <w:tcPr>
            <w:tcW w:w="94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73F2" w:rsidRPr="00A81AB7" w:rsidRDefault="004473F2" w:rsidP="003041F5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b/>
                <w:sz w:val="20"/>
                <w:szCs w:val="20"/>
              </w:rPr>
              <w:t>Verbraucherhinweise zum „Deo-Kristall“</w:t>
            </w:r>
          </w:p>
        </w:tc>
      </w:tr>
      <w:tr w:rsidR="004473F2" w:rsidRPr="00A81AB7" w:rsidTr="003041F5">
        <w:tc>
          <w:tcPr>
            <w:tcW w:w="6379" w:type="dxa"/>
            <w:tcBorders>
              <w:top w:val="nil"/>
              <w:right w:val="nil"/>
            </w:tcBorders>
            <w:shd w:val="clear" w:color="auto" w:fill="auto"/>
          </w:tcPr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color w:val="000000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ohne Konservierungsstoffe, ohne Parfüm, ohne Alkohol</w:t>
            </w:r>
          </w:p>
          <w:p w:rsidR="004473F2" w:rsidRPr="00A81AB7" w:rsidRDefault="004473F2" w:rsidP="004473F2">
            <w:pPr>
              <w:pStyle w:val="Textkrper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before="20" w:after="2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hautklinisch getestet auf Verträglichkeit und Wirkung</w:t>
            </w:r>
          </w:p>
          <w:p w:rsidR="004473F2" w:rsidRPr="00A81AB7" w:rsidRDefault="004473F2" w:rsidP="004473F2">
            <w:pPr>
              <w:pStyle w:val="Textkrper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before="20" w:after="2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schützt zuverlässig gegen Körpergeruch dank seiner einziga</w:t>
            </w:r>
            <w:r w:rsidRPr="00A81AB7">
              <w:rPr>
                <w:rFonts w:cs="Arial"/>
                <w:sz w:val="20"/>
                <w:szCs w:val="20"/>
              </w:rPr>
              <w:t>r</w:t>
            </w:r>
            <w:r w:rsidRPr="00A81AB7">
              <w:rPr>
                <w:rFonts w:cs="Arial"/>
                <w:sz w:val="20"/>
                <w:szCs w:val="20"/>
              </w:rPr>
              <w:t>tigen Wirkkombination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einfach mit Wasser anfeuchten, Hautpartien bestreichen und Sie fühlen sich den ganzen Tag herrlich frisch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chemische Zusammensetzung: Ammonium-Aluminiumsulfat (vereinfacht aus Ammoniumsulfat und Aluminiumsulfat best</w:t>
            </w:r>
            <w:r w:rsidRPr="00A81AB7">
              <w:rPr>
                <w:rFonts w:cs="Arial"/>
                <w:sz w:val="20"/>
                <w:szCs w:val="20"/>
              </w:rPr>
              <w:t>e</w:t>
            </w:r>
            <w:r w:rsidRPr="00A81AB7">
              <w:rPr>
                <w:rFonts w:cs="Arial"/>
                <w:sz w:val="20"/>
                <w:szCs w:val="20"/>
              </w:rPr>
              <w:t xml:space="preserve">hend) 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durch die saure Reaktion der Salze wird eine eiweißzerstöre</w:t>
            </w:r>
            <w:r w:rsidRPr="00A81AB7">
              <w:rPr>
                <w:rFonts w:cs="Arial"/>
                <w:sz w:val="20"/>
                <w:szCs w:val="20"/>
              </w:rPr>
              <w:t>n</w:t>
            </w:r>
            <w:r w:rsidRPr="00A81AB7">
              <w:rPr>
                <w:rFonts w:cs="Arial"/>
                <w:sz w:val="20"/>
                <w:szCs w:val="20"/>
              </w:rPr>
              <w:t>de Wirkung (antibakteriell, enzymhemmend) hervorgerufen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Fällungsprodukte aus dem Eiweiß verengen auf mechan</w:t>
            </w:r>
            <w:r w:rsidRPr="00A81AB7">
              <w:rPr>
                <w:rFonts w:cs="Arial"/>
                <w:sz w:val="20"/>
                <w:szCs w:val="20"/>
              </w:rPr>
              <w:t>i</w:t>
            </w:r>
            <w:r w:rsidRPr="00A81AB7">
              <w:rPr>
                <w:rFonts w:cs="Arial"/>
                <w:sz w:val="20"/>
                <w:szCs w:val="20"/>
              </w:rPr>
              <w:t>schem Wege den Ausgang der Schweißkanäle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sauer reagierenden Salze neutralisieren basische Schweißze</w:t>
            </w:r>
            <w:r w:rsidRPr="00A81AB7">
              <w:rPr>
                <w:rFonts w:cs="Arial"/>
                <w:sz w:val="20"/>
                <w:szCs w:val="20"/>
              </w:rPr>
              <w:t>r</w:t>
            </w:r>
            <w:r w:rsidRPr="00A81AB7">
              <w:rPr>
                <w:rFonts w:cs="Arial"/>
                <w:sz w:val="20"/>
                <w:szCs w:val="20"/>
              </w:rPr>
              <w:t>setzungsprodukte zu geruchlosen Salzen</w:t>
            </w:r>
          </w:p>
          <w:p w:rsidR="004473F2" w:rsidRPr="00A81AB7" w:rsidRDefault="004473F2" w:rsidP="004473F2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after="60" w:line="276" w:lineRule="auto"/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A81AB7">
              <w:rPr>
                <w:rFonts w:cs="Arial"/>
                <w:sz w:val="20"/>
                <w:szCs w:val="20"/>
              </w:rPr>
              <w:t>„Kristallwasser“ bitte nicht mit Marmor in Berührung bringen.</w:t>
            </w:r>
          </w:p>
        </w:tc>
        <w:tc>
          <w:tcPr>
            <w:tcW w:w="3083" w:type="dxa"/>
            <w:tcBorders>
              <w:top w:val="nil"/>
              <w:left w:val="nil"/>
            </w:tcBorders>
            <w:shd w:val="clear" w:color="auto" w:fill="auto"/>
          </w:tcPr>
          <w:p w:rsidR="004473F2" w:rsidRPr="00A81AB7" w:rsidRDefault="004473F2" w:rsidP="003041F5">
            <w:pPr>
              <w:spacing w:before="60" w:after="60"/>
              <w:rPr>
                <w:sz w:val="20"/>
                <w:szCs w:val="20"/>
              </w:rPr>
            </w:pPr>
          </w:p>
          <w:p w:rsidR="004473F2" w:rsidRPr="00A81AB7" w:rsidRDefault="004473F2" w:rsidP="003041F5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663700" cy="2044700"/>
                  <wp:effectExtent l="0" t="0" r="0" b="0"/>
                  <wp:docPr id="5" name="Grafik 5" descr="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3F2" w:rsidRPr="00A81AB7" w:rsidRDefault="004473F2" w:rsidP="003041F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473F2" w:rsidRDefault="004473F2" w:rsidP="004473F2">
      <w:pPr>
        <w:spacing w:before="60" w:after="60" w:line="240" w:lineRule="auto"/>
        <w:ind w:left="720"/>
        <w:rPr>
          <w:rFonts w:cs="Arial"/>
          <w:sz w:val="20"/>
        </w:rPr>
      </w:pPr>
    </w:p>
    <w:p w:rsidR="004473F2" w:rsidRPr="00A72C6E" w:rsidRDefault="004473F2" w:rsidP="004473F2">
      <w:pPr>
        <w:spacing w:before="60" w:after="60" w:line="240" w:lineRule="auto"/>
        <w:ind w:left="720"/>
        <w:rPr>
          <w:rFonts w:cs="Arial"/>
          <w:sz w:val="20"/>
        </w:rPr>
      </w:pPr>
    </w:p>
    <w:p w:rsidR="004473F2" w:rsidRPr="00B7157C" w:rsidRDefault="004473F2" w:rsidP="004473F2">
      <w:pPr>
        <w:numPr>
          <w:ilvl w:val="0"/>
          <w:numId w:val="26"/>
        </w:numPr>
        <w:ind w:left="284" w:hanging="284"/>
        <w:jc w:val="both"/>
      </w:pPr>
      <w:r w:rsidRPr="00B7157C">
        <w:t>In Wasser werden Teile eines Deo-Kristalls gelöst.</w:t>
      </w:r>
    </w:p>
    <w:p w:rsidR="004473F2" w:rsidRDefault="004473F2" w:rsidP="004473F2">
      <w:pPr>
        <w:ind w:left="284"/>
      </w:pPr>
      <w:r w:rsidRPr="00B7157C">
        <w:t>Erläutern Sie die dabei ablaufenden Vorgänge.</w:t>
      </w:r>
    </w:p>
    <w:p w:rsidR="004473F2" w:rsidRPr="00B7157C" w:rsidRDefault="004473F2" w:rsidP="004473F2">
      <w:pPr>
        <w:ind w:left="284"/>
      </w:pPr>
    </w:p>
    <w:p w:rsidR="004473F2" w:rsidRPr="00B7157C" w:rsidRDefault="004473F2" w:rsidP="004473F2">
      <w:pPr>
        <w:numPr>
          <w:ilvl w:val="0"/>
          <w:numId w:val="26"/>
        </w:numPr>
        <w:ind w:left="284" w:hanging="284"/>
        <w:jc w:val="both"/>
      </w:pPr>
      <w:r w:rsidRPr="00B7157C">
        <w:t>Planen Sie ein Experiment zum Nachweis von zwei Bestandteilen des Deo-Kristalls.</w:t>
      </w:r>
    </w:p>
    <w:p w:rsidR="004473F2" w:rsidRPr="00B7157C" w:rsidRDefault="004473F2" w:rsidP="004473F2">
      <w:pPr>
        <w:ind w:left="284"/>
      </w:pPr>
      <w:r w:rsidRPr="00B7157C">
        <w:t>Führen Sie das geplante Experiment durch.</w:t>
      </w:r>
    </w:p>
    <w:p w:rsidR="004473F2" w:rsidRDefault="004473F2" w:rsidP="004473F2">
      <w:pPr>
        <w:ind w:left="284"/>
      </w:pPr>
      <w:r w:rsidRPr="00B7157C">
        <w:t>Werten Sie es aus.</w:t>
      </w:r>
    </w:p>
    <w:p w:rsidR="004473F2" w:rsidRPr="00B7157C" w:rsidRDefault="004473F2" w:rsidP="004473F2">
      <w:pPr>
        <w:ind w:left="284"/>
      </w:pPr>
    </w:p>
    <w:p w:rsidR="004473F2" w:rsidRPr="00B7157C" w:rsidRDefault="004473F2" w:rsidP="004473F2">
      <w:pPr>
        <w:numPr>
          <w:ilvl w:val="0"/>
          <w:numId w:val="26"/>
        </w:numPr>
        <w:ind w:left="284" w:hanging="284"/>
        <w:jc w:val="both"/>
      </w:pPr>
      <w:r w:rsidRPr="00B7157C">
        <w:t>Bestätigen Sie experimentell den Überschuss an Wasserstoff-Ionen in der wässrigen L</w:t>
      </w:r>
      <w:r w:rsidRPr="00B7157C">
        <w:t>ö</w:t>
      </w:r>
      <w:r w:rsidRPr="00B7157C">
        <w:t>sung des Deo-Kristalls.</w:t>
      </w:r>
    </w:p>
    <w:p w:rsidR="004473F2" w:rsidRDefault="004473F2" w:rsidP="004473F2">
      <w:pPr>
        <w:ind w:left="284"/>
      </w:pPr>
      <w:r w:rsidRPr="00B7157C">
        <w:t>Wenden Sie diesen Sachverhalt auf eine mögliche Reaktion mit dem Schweißzerse</w:t>
      </w:r>
      <w:r w:rsidRPr="00B7157C">
        <w:t>t</w:t>
      </w:r>
      <w:r w:rsidRPr="00B7157C">
        <w:t>zungsprodukt Ammoniak an.</w:t>
      </w:r>
    </w:p>
    <w:p w:rsidR="004473F2" w:rsidRPr="00B7157C" w:rsidRDefault="004473F2" w:rsidP="004473F2">
      <w:pPr>
        <w:ind w:left="284"/>
      </w:pPr>
    </w:p>
    <w:p w:rsidR="004473F2" w:rsidRPr="00B7157C" w:rsidRDefault="004473F2" w:rsidP="004473F2">
      <w:pPr>
        <w:numPr>
          <w:ilvl w:val="0"/>
          <w:numId w:val="26"/>
        </w:numPr>
        <w:ind w:left="284" w:hanging="284"/>
        <w:jc w:val="both"/>
      </w:pPr>
      <w:r w:rsidRPr="00B7157C">
        <w:t>Beurteilen Sie den Verbraucherhinweis: „Kristallwasser bitte nicht mit Marmor in Berü</w:t>
      </w:r>
      <w:r w:rsidRPr="00B7157C">
        <w:t>h</w:t>
      </w:r>
      <w:r w:rsidRPr="00B7157C">
        <w:t>rung bringen.“</w:t>
      </w:r>
    </w:p>
    <w:p w:rsidR="00B07A9E" w:rsidRDefault="004A5573" w:rsidP="004A5865">
      <w:pPr>
        <w:numPr>
          <w:ilvl w:val="0"/>
          <w:numId w:val="22"/>
        </w:numPr>
        <w:tabs>
          <w:tab w:val="left" w:pos="378"/>
        </w:tabs>
        <w:spacing w:after="120"/>
        <w:ind w:left="426" w:hanging="426"/>
        <w:jc w:val="both"/>
      </w:pPr>
      <w:r>
        <w:br w:type="page"/>
      </w:r>
    </w:p>
    <w:p w:rsidR="004A5865" w:rsidRDefault="004A5865" w:rsidP="004A5865">
      <w:pPr>
        <w:tabs>
          <w:tab w:val="left" w:pos="378"/>
        </w:tabs>
        <w:spacing w:after="120"/>
        <w:rPr>
          <w:b/>
          <w:noProof/>
        </w:rPr>
      </w:pPr>
      <w:r w:rsidRPr="00473CC2">
        <w:rPr>
          <w:b/>
          <w:noProof/>
        </w:rPr>
        <w:lastRenderedPageBreak/>
        <w:t xml:space="preserve">Einordnung in den </w:t>
      </w:r>
      <w:r>
        <w:rPr>
          <w:b/>
          <w:noProof/>
        </w:rPr>
        <w:t>Fachlehrplan Gymnasium</w:t>
      </w:r>
    </w:p>
    <w:tbl>
      <w:tblPr>
        <w:tblW w:w="9039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39"/>
      </w:tblGrid>
      <w:tr w:rsidR="004473F2" w:rsidRPr="00FB3AF9" w:rsidTr="003041F5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3F2" w:rsidRPr="00FB3AF9" w:rsidRDefault="004473F2" w:rsidP="003041F5">
            <w:pPr>
              <w:rPr>
                <w:u w:val="single"/>
              </w:rPr>
            </w:pPr>
            <w:r w:rsidRPr="00FB3AF9">
              <w:rPr>
                <w:u w:val="single"/>
              </w:rPr>
              <w:t>Kompetenzschwerpunkt(e) bzw. Kompetenzbereich</w:t>
            </w:r>
          </w:p>
          <w:p w:rsidR="004473F2" w:rsidRPr="00FB3AF9" w:rsidRDefault="004473F2" w:rsidP="004473F2">
            <w:pPr>
              <w:numPr>
                <w:ilvl w:val="0"/>
                <w:numId w:val="10"/>
              </w:numPr>
              <w:jc w:val="both"/>
            </w:pPr>
            <w:r w:rsidRPr="005978E3">
              <w:rPr>
                <w:rFonts w:cs="Arial"/>
              </w:rPr>
              <w:t>Experimentelle Untersuchungen (Praktikum) durchführen und auswerten</w:t>
            </w:r>
          </w:p>
        </w:tc>
      </w:tr>
      <w:tr w:rsidR="004473F2" w:rsidRPr="00FB3AF9" w:rsidTr="003041F5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3F2" w:rsidRPr="00FB3AF9" w:rsidRDefault="004473F2" w:rsidP="003041F5">
            <w:pPr>
              <w:rPr>
                <w:u w:val="single"/>
              </w:rPr>
            </w:pPr>
            <w:r w:rsidRPr="00FB3AF9">
              <w:rPr>
                <w:u w:val="single"/>
              </w:rPr>
              <w:t>zu entwickelnde (bzw. zu überprüfende) Kompetenzen:</w:t>
            </w:r>
          </w:p>
          <w:p w:rsidR="004473F2" w:rsidRPr="00212598" w:rsidRDefault="004473F2" w:rsidP="00212598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212598">
              <w:rPr>
                <w:rFonts w:cs="Arial"/>
              </w:rPr>
              <w:t>Nachweisreaktionen auf ein unbekanntes Stoffgemisch anwenden</w:t>
            </w:r>
          </w:p>
          <w:p w:rsidR="004473F2" w:rsidRPr="00212598" w:rsidRDefault="004473F2" w:rsidP="00212598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212598">
              <w:rPr>
                <w:rFonts w:cs="Arial"/>
              </w:rPr>
              <w:t>experimentelle Untersuchungen unter Sicherheits- und Umweltaspekten selbs</w:t>
            </w:r>
            <w:r w:rsidRPr="00212598">
              <w:rPr>
                <w:rFonts w:cs="Arial"/>
              </w:rPr>
              <w:t>t</w:t>
            </w:r>
            <w:r w:rsidRPr="00212598">
              <w:rPr>
                <w:rFonts w:cs="Arial"/>
              </w:rPr>
              <w:t>ständig durchführen und protokollieren</w:t>
            </w:r>
          </w:p>
          <w:p w:rsidR="004473F2" w:rsidRPr="009431FF" w:rsidRDefault="004473F2" w:rsidP="00212598">
            <w:pPr>
              <w:numPr>
                <w:ilvl w:val="0"/>
                <w:numId w:val="10"/>
              </w:numPr>
              <w:jc w:val="both"/>
            </w:pPr>
            <w:r w:rsidRPr="00212598">
              <w:rPr>
                <w:rFonts w:cs="Arial"/>
              </w:rPr>
              <w:t>Experimente reflektieren</w:t>
            </w:r>
            <w:r>
              <w:t xml:space="preserve"> und fachlich korrekt dokumentieren</w:t>
            </w:r>
          </w:p>
        </w:tc>
      </w:tr>
      <w:tr w:rsidR="004473F2" w:rsidRPr="00FB3AF9" w:rsidTr="003041F5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3F2" w:rsidRPr="00FB3AF9" w:rsidRDefault="004473F2" w:rsidP="003041F5">
            <w:pPr>
              <w:rPr>
                <w:u w:val="single"/>
              </w:rPr>
            </w:pPr>
            <w:r w:rsidRPr="00FB3AF9">
              <w:rPr>
                <w:u w:val="single"/>
              </w:rPr>
              <w:t>Bezug zu grundlegenden Wissensbeständen:</w:t>
            </w:r>
          </w:p>
          <w:p w:rsidR="004473F2" w:rsidRPr="009431FF" w:rsidRDefault="004473F2" w:rsidP="004473F2">
            <w:pPr>
              <w:pStyle w:val="AnstrichTabelle"/>
              <w:numPr>
                <w:ilvl w:val="0"/>
                <w:numId w:val="10"/>
              </w:numPr>
              <w:jc w:val="left"/>
            </w:pPr>
            <w:r>
              <w:t xml:space="preserve">Nachweis </w:t>
            </w:r>
            <w:r w:rsidRPr="00CF5D76">
              <w:t>von Ionen (H</w:t>
            </w:r>
            <w:r w:rsidRPr="00CF5D76">
              <w:rPr>
                <w:vertAlign w:val="superscript"/>
              </w:rPr>
              <w:t>+</w:t>
            </w:r>
            <w:r w:rsidRPr="00CF5D76">
              <w:t>, OH</w:t>
            </w:r>
            <w:r w:rsidRPr="00CF5D76">
              <w:rPr>
                <w:vertAlign w:val="superscript"/>
              </w:rPr>
              <w:t>-</w:t>
            </w:r>
            <w:r w:rsidRPr="00CF5D76">
              <w:t>, SO</w:t>
            </w:r>
            <w:r w:rsidRPr="00CF5D76">
              <w:rPr>
                <w:vertAlign w:val="subscript"/>
              </w:rPr>
              <w:t>4</w:t>
            </w:r>
            <w:r w:rsidRPr="00CF5D76">
              <w:rPr>
                <w:vertAlign w:val="superscript"/>
              </w:rPr>
              <w:t>2-</w:t>
            </w:r>
            <w:r w:rsidRPr="00CF5D76">
              <w:t>, CO</w:t>
            </w:r>
            <w:r w:rsidRPr="00CF5D76">
              <w:rPr>
                <w:vertAlign w:val="subscript"/>
              </w:rPr>
              <w:t>3</w:t>
            </w:r>
            <w:r w:rsidRPr="00CF5D76">
              <w:rPr>
                <w:vertAlign w:val="superscript"/>
              </w:rPr>
              <w:t>2-</w:t>
            </w:r>
            <w:r w:rsidRPr="00CF5D76">
              <w:t>, Cl</w:t>
            </w:r>
            <w:r w:rsidRPr="004A63F2">
              <w:rPr>
                <w:vertAlign w:val="superscript"/>
              </w:rPr>
              <w:t>-</w:t>
            </w:r>
            <w:r w:rsidRPr="00CF5D76">
              <w:t>, NH</w:t>
            </w:r>
            <w:r w:rsidRPr="00CF5D76">
              <w:rPr>
                <w:vertAlign w:val="subscript"/>
              </w:rPr>
              <w:t>4</w:t>
            </w:r>
            <w:r w:rsidRPr="00CF5D76">
              <w:rPr>
                <w:vertAlign w:val="superscript"/>
              </w:rPr>
              <w:t>+</w:t>
            </w:r>
            <w:r w:rsidRPr="00CF5D76">
              <w:t>)</w:t>
            </w:r>
          </w:p>
        </w:tc>
      </w:tr>
    </w:tbl>
    <w:p w:rsidR="00212598" w:rsidRDefault="00212598" w:rsidP="004473F2">
      <w:pPr>
        <w:rPr>
          <w:b/>
        </w:rPr>
      </w:pPr>
    </w:p>
    <w:p w:rsidR="004473F2" w:rsidRPr="00FB3AF9" w:rsidRDefault="004473F2" w:rsidP="004473F2">
      <w:r w:rsidRPr="00FB3AF9">
        <w:rPr>
          <w:b/>
        </w:rPr>
        <w:t>Anregungen und Hinweise zum unterrichtlichen Einsatz</w:t>
      </w:r>
    </w:p>
    <w:p w:rsidR="004473F2" w:rsidRDefault="004473F2" w:rsidP="004473F2">
      <w:pPr>
        <w:jc w:val="both"/>
      </w:pPr>
      <w:r>
        <w:t>Zum Abschluss des Praktikums kann die Aufgabe als Testaufgabe verwendet werden. Alte</w:t>
      </w:r>
      <w:r>
        <w:t>r</w:t>
      </w:r>
      <w:r>
        <w:t xml:space="preserve">nativ beschreibt </w:t>
      </w:r>
      <w:r w:rsidRPr="00FB3AF9">
        <w:t xml:space="preserve">diese </w:t>
      </w:r>
      <w:r>
        <w:t xml:space="preserve">eine Anforderungssituation (Lernaufgabe) </w:t>
      </w:r>
      <w:r w:rsidRPr="00FB3AF9">
        <w:t>zur Festigung (Systemat</w:t>
      </w:r>
      <w:r w:rsidRPr="00FB3AF9">
        <w:t>i</w:t>
      </w:r>
      <w:r w:rsidRPr="00FB3AF9">
        <w:t xml:space="preserve">sierung) </w:t>
      </w:r>
      <w:r>
        <w:t xml:space="preserve">am Ende des 10. Schuljahrganges im Rahmen des Praktikums. Als Zeitumfang ist jeweils </w:t>
      </w:r>
      <w:r w:rsidRPr="00FB3AF9">
        <w:t>eine Doppelstun</w:t>
      </w:r>
      <w:r>
        <w:t>de vorgesehen</w:t>
      </w:r>
      <w:r w:rsidRPr="00FB3AF9">
        <w:t>.</w:t>
      </w:r>
    </w:p>
    <w:p w:rsidR="004473F2" w:rsidRDefault="004473F2" w:rsidP="004473F2">
      <w:pPr>
        <w:jc w:val="both"/>
      </w:pPr>
      <w:r w:rsidRPr="00FB3AF9">
        <w:t xml:space="preserve">Für das </w:t>
      </w:r>
      <w:r>
        <w:t xml:space="preserve">theoretische und experimentelle Bearbeiten dieser Aufgabe bietet sich die Arbeit in Kleingruppen an. </w:t>
      </w:r>
      <w:r w:rsidRPr="00FB3AF9">
        <w:t>Neben der Festigung zu dieser Thematik werden auch Phasen der E</w:t>
      </w:r>
      <w:r w:rsidRPr="00FB3AF9">
        <w:t>r</w:t>
      </w:r>
      <w:r w:rsidRPr="00FB3AF9">
        <w:t>kenntnisgewin</w:t>
      </w:r>
      <w:r>
        <w:t>nung</w:t>
      </w:r>
      <w:r w:rsidRPr="00FB3AF9">
        <w:t xml:space="preserve"> durch die Schülerinnen und Schüler durchgeführt. Deshalb ist es an di</w:t>
      </w:r>
      <w:r w:rsidRPr="00FB3AF9">
        <w:t>e</w:t>
      </w:r>
      <w:r w:rsidRPr="00FB3AF9">
        <w:t>ser Stelle notwendig die Erkenntnisse zusammen zu tragen und gemeinsam auszuwer</w:t>
      </w:r>
      <w:r>
        <w:t>ten.</w:t>
      </w:r>
    </w:p>
    <w:p w:rsidR="004473F2" w:rsidRPr="00FB3AF9" w:rsidRDefault="004473F2" w:rsidP="004473F2">
      <w:pPr>
        <w:jc w:val="both"/>
      </w:pPr>
      <w:r w:rsidRPr="00FB3AF9">
        <w:t>Die Schülerinnen und Schüler beobachten, beschreiben, erkennen und erklären naturwi</w:t>
      </w:r>
      <w:r w:rsidRPr="00FB3AF9">
        <w:t>s</w:t>
      </w:r>
      <w:r w:rsidRPr="00FB3AF9">
        <w:t>senschaftliche Phänomene, ziehen begründete Schlussfolgerungen aus gewonnenen E</w:t>
      </w:r>
      <w:r w:rsidRPr="00FB3AF9">
        <w:t>r</w:t>
      </w:r>
      <w:r w:rsidRPr="00FB3AF9">
        <w:t>kenntnissen und prüfen die Eindeutigkeit naturwissenschaftlicher Daten. Naturwissenschaf</w:t>
      </w:r>
      <w:r w:rsidRPr="00FB3AF9">
        <w:t>t</w:t>
      </w:r>
      <w:r w:rsidRPr="00FB3AF9">
        <w:t xml:space="preserve">liche </w:t>
      </w:r>
      <w:r>
        <w:t>Vorgehensweisen</w:t>
      </w:r>
      <w:r w:rsidRPr="00FB3AF9">
        <w:t xml:space="preserve"> wie Planen, Beobachten, Messen</w:t>
      </w:r>
      <w:r>
        <w:t xml:space="preserve"> (auch mit einem pH-Meter als ein digitales Werkzeug)</w:t>
      </w:r>
      <w:r w:rsidRPr="00FB3AF9">
        <w:t xml:space="preserve">, Experimentieren, Bewerten und Entsorgen führen die Schülerinnen und Schüler selbst aus und </w:t>
      </w:r>
      <w:r>
        <w:t>dokumentieren die gewonnenen Ergebnisse.</w:t>
      </w:r>
    </w:p>
    <w:p w:rsidR="004473F2" w:rsidRPr="00FB3AF9" w:rsidRDefault="004473F2" w:rsidP="004473F2">
      <w:pPr>
        <w:jc w:val="both"/>
      </w:pPr>
      <w:r w:rsidRPr="00FB3AF9">
        <w:t>Die Schülerinnen und Schüler lernen und handeln individuell u</w:t>
      </w:r>
      <w:r w:rsidR="00212598">
        <w:t xml:space="preserve">nd in Kooperation mit anderen </w:t>
      </w:r>
      <w:r w:rsidRPr="00FB3AF9">
        <w:t>erfolgreich</w:t>
      </w:r>
      <w:r>
        <w:t xml:space="preserve">. </w:t>
      </w:r>
      <w:r w:rsidRPr="00FB3AF9">
        <w:t>Sie entwickeln für sich ein effizientes Zeitmanagement. Das schließt Selbstorg</w:t>
      </w:r>
      <w:r w:rsidRPr="00FB3AF9">
        <w:t>a</w:t>
      </w:r>
      <w:r w:rsidRPr="00FB3AF9">
        <w:t>nisation, Reflexion des Lernens sowie das Ableiten von Rückschlüssen für sich und die Lerngruppe bezüglich der Lernziele, Lernstrategien, Lernergebnisse und Lernhal</w:t>
      </w:r>
      <w:r>
        <w:t>tungen ein.</w:t>
      </w:r>
    </w:p>
    <w:p w:rsidR="004473F2" w:rsidRDefault="004473F2" w:rsidP="004473F2">
      <w:r>
        <w:rPr>
          <w:b/>
        </w:rPr>
        <w:t>Variationsmöglichkeiten</w:t>
      </w:r>
    </w:p>
    <w:p w:rsidR="004473F2" w:rsidRPr="00FB79C5" w:rsidRDefault="004473F2" w:rsidP="004473F2">
      <w:r w:rsidRPr="00FB79C5">
        <w:t xml:space="preserve">Zum Einsatz als Lernaufgabe können folgende </w:t>
      </w:r>
      <w:r>
        <w:t xml:space="preserve">Teilaufgaben </w:t>
      </w:r>
      <w:r w:rsidRPr="00FB79C5">
        <w:t>verändert bzw. ergänzt werden:</w:t>
      </w:r>
    </w:p>
    <w:p w:rsidR="004473F2" w:rsidRPr="00FB79C5" w:rsidRDefault="004473F2" w:rsidP="004473F2">
      <w:pPr>
        <w:numPr>
          <w:ilvl w:val="0"/>
          <w:numId w:val="27"/>
        </w:numPr>
        <w:ind w:left="426" w:hanging="426"/>
        <w:jc w:val="both"/>
      </w:pPr>
      <w:r w:rsidRPr="00FB79C5">
        <w:t>Recherchieren Sie in verschiedenen Medien nach der Ursache des pH-Wertes der wässrigen Lösung des Deo-Kristalls.</w:t>
      </w:r>
    </w:p>
    <w:p w:rsidR="004473F2" w:rsidRDefault="004473F2" w:rsidP="004473F2">
      <w:pPr>
        <w:spacing w:before="120" w:after="120" w:line="240" w:lineRule="auto"/>
      </w:pPr>
      <w:r w:rsidRPr="00FB79C5">
        <w:t>Präsentieren Sie Ihre Ergebnisse.</w:t>
      </w:r>
    </w:p>
    <w:p w:rsidR="00B07A9E" w:rsidRDefault="00B07A9E" w:rsidP="004473F2">
      <w:pPr>
        <w:spacing w:before="120" w:after="120" w:line="240" w:lineRule="auto"/>
        <w:rPr>
          <w:b/>
        </w:rPr>
      </w:pPr>
      <w:r w:rsidRPr="00341DB9">
        <w:rPr>
          <w:b/>
        </w:rPr>
        <w:lastRenderedPageBreak/>
        <w:t>Erwarteter Stand der Kompetenzentwicklung</w:t>
      </w:r>
    </w:p>
    <w:p w:rsidR="00B07A9E" w:rsidRDefault="00B07A9E" w:rsidP="004A5573">
      <w:pPr>
        <w:spacing w:before="120" w:after="120" w:line="240" w:lineRule="auto"/>
      </w:pPr>
    </w:p>
    <w:tbl>
      <w:tblPr>
        <w:tblW w:w="0" w:type="auto"/>
        <w:tblInd w:w="108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18"/>
        <w:gridCol w:w="5812"/>
        <w:gridCol w:w="1701"/>
      </w:tblGrid>
      <w:tr w:rsidR="00B07A9E" w:rsidRPr="00FC13C7" w:rsidTr="0042685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7A9E" w:rsidRPr="00FC13C7" w:rsidRDefault="00B07A9E" w:rsidP="00673034">
            <w:pPr>
              <w:rPr>
                <w:b/>
              </w:rPr>
            </w:pPr>
            <w:r w:rsidRPr="00FC13C7">
              <w:rPr>
                <w:b/>
              </w:rPr>
              <w:t>Aufgabe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07A9E" w:rsidRDefault="00B07A9E" w:rsidP="00673034">
            <w:r w:rsidRPr="00FC13C7">
              <w:rPr>
                <w:b/>
              </w:rPr>
              <w:t>erwartete Schülerleistung</w:t>
            </w:r>
          </w:p>
          <w:p w:rsidR="00B07A9E" w:rsidRPr="00FC13C7" w:rsidRDefault="00B07A9E" w:rsidP="00673034">
            <w:pPr>
              <w:rPr>
                <w:b/>
              </w:rPr>
            </w:pPr>
            <w:r>
              <w:t>Die Schülerinnen und Schüler können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7A9E" w:rsidRPr="00FC13C7" w:rsidRDefault="004473F2" w:rsidP="001F7937">
            <w:pPr>
              <w:jc w:val="center"/>
              <w:rPr>
                <w:b/>
              </w:rPr>
            </w:pPr>
            <w:r>
              <w:rPr>
                <w:b/>
              </w:rPr>
              <w:t>AFB</w:t>
            </w:r>
          </w:p>
        </w:tc>
      </w:tr>
      <w:tr w:rsidR="00B07A9E" w:rsidTr="0042685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7A9E" w:rsidRDefault="00426853" w:rsidP="001F793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26853" w:rsidRPr="008C0F17" w:rsidRDefault="00426853" w:rsidP="001F7937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75D8" w:rsidRPr="00BE5348" w:rsidRDefault="00BE5348" w:rsidP="00BE5348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>
              <w:rPr>
                <w:rFonts w:cs="Arial"/>
              </w:rPr>
              <w:t xml:space="preserve">Struktur-Eigenschafts-Beziehung </w:t>
            </w:r>
            <w:r w:rsidR="00646D0F">
              <w:rPr>
                <w:rFonts w:cs="Arial"/>
              </w:rPr>
              <w:t>von</w:t>
            </w:r>
            <w:r>
              <w:rPr>
                <w:rFonts w:cs="Arial"/>
              </w:rPr>
              <w:t xml:space="preserve"> Wasser und den Bestandteilen </w:t>
            </w:r>
            <w:r w:rsidRPr="00B7157C">
              <w:t xml:space="preserve">eines Deo-Kristalls </w:t>
            </w:r>
            <w:r>
              <w:rPr>
                <w:rFonts w:cs="Arial"/>
              </w:rPr>
              <w:t>anwenden</w:t>
            </w:r>
          </w:p>
          <w:p w:rsidR="00BE5348" w:rsidRPr="00BE5348" w:rsidRDefault="00BE5348" w:rsidP="00BE5348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>
              <w:rPr>
                <w:rFonts w:cs="Arial"/>
              </w:rPr>
              <w:t>Löslichkeitsregel anwenden</w:t>
            </w:r>
          </w:p>
          <w:p w:rsidR="00BE5348" w:rsidRDefault="00BE5348" w:rsidP="00BE5348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>
              <w:rPr>
                <w:rFonts w:cs="Arial"/>
              </w:rPr>
              <w:t>Löslichkeit unter Verwendung der Fachsprache erkl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ren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EF4603" w:rsidP="008C0F17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 w:rsidR="004473F2">
              <w:rPr>
                <w:b/>
              </w:rPr>
              <w:t>2</w:t>
            </w:r>
          </w:p>
          <w:p w:rsidR="001F7937" w:rsidRPr="001F7937" w:rsidRDefault="001F7937" w:rsidP="004473F2">
            <w:pPr>
              <w:jc w:val="center"/>
              <w:rPr>
                <w:b/>
              </w:rPr>
            </w:pPr>
          </w:p>
        </w:tc>
      </w:tr>
      <w:tr w:rsidR="006E21AC" w:rsidTr="0042685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4473F2" w:rsidP="006E21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598" w:rsidRPr="00212598" w:rsidRDefault="00212598" w:rsidP="00212598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 w:rsidRPr="00212598">
              <w:rPr>
                <w:rFonts w:cs="Arial"/>
              </w:rPr>
              <w:t>zur Vorbereitung auf die verbindlichen Experimente in Fachtexten Strukturen und Beziehungen finden, th</w:t>
            </w:r>
            <w:r w:rsidRPr="00212598">
              <w:rPr>
                <w:rFonts w:cs="Arial"/>
              </w:rPr>
              <w:t>e</w:t>
            </w:r>
            <w:r w:rsidRPr="00212598">
              <w:rPr>
                <w:rFonts w:cs="Arial"/>
              </w:rPr>
              <w:t>menrelevant aufarbeiten und</w:t>
            </w:r>
            <w:r>
              <w:rPr>
                <w:rFonts w:cs="Arial"/>
              </w:rPr>
              <w:t xml:space="preserve"> </w:t>
            </w:r>
            <w:r w:rsidRPr="00212598">
              <w:rPr>
                <w:rFonts w:cs="Arial"/>
              </w:rPr>
              <w:t>geeignete Schlussfolg</w:t>
            </w:r>
            <w:r w:rsidRPr="00212598">
              <w:rPr>
                <w:rFonts w:cs="Arial"/>
              </w:rPr>
              <w:t>e</w:t>
            </w:r>
            <w:r w:rsidRPr="00212598">
              <w:rPr>
                <w:rFonts w:cs="Arial"/>
              </w:rPr>
              <w:t>rungen ziehen</w:t>
            </w:r>
          </w:p>
          <w:p w:rsidR="00212598" w:rsidRPr="00212598" w:rsidRDefault="00212598" w:rsidP="00212598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 w:rsidRPr="00212598">
              <w:rPr>
                <w:rFonts w:cs="Arial"/>
              </w:rPr>
              <w:t>selbstständig Experimente zur Überprüfung von Ve</w:t>
            </w:r>
            <w:r w:rsidRPr="00212598">
              <w:rPr>
                <w:rFonts w:cs="Arial"/>
              </w:rPr>
              <w:t>r</w:t>
            </w:r>
            <w:r w:rsidRPr="00212598">
              <w:rPr>
                <w:rFonts w:cs="Arial"/>
              </w:rPr>
              <w:t>mutungen planen, durchführen und auswerten</w:t>
            </w:r>
          </w:p>
          <w:p w:rsidR="00212598" w:rsidRPr="00212598" w:rsidRDefault="00212598" w:rsidP="00212598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 w:rsidRPr="00212598">
              <w:rPr>
                <w:rFonts w:cs="Arial"/>
              </w:rPr>
              <w:t>experimentelle Untersuchungen unter Sicherheits- und Umweltaspekten selbstständig durchführen und protokollieren</w:t>
            </w:r>
          </w:p>
          <w:p w:rsidR="006E21AC" w:rsidRPr="00B6797C" w:rsidRDefault="00212598" w:rsidP="00212598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>
              <w:rPr>
                <w:rFonts w:cs="Arial"/>
              </w:rPr>
              <w:t>bei Experimenten aus Beobachtungen Erkenntnisse gewinnen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4473F2" w:rsidP="008C0F17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</w:tr>
      <w:tr w:rsidR="006E21AC" w:rsidTr="0042685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Pr="008C0F17" w:rsidRDefault="004473F2" w:rsidP="001F793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603" w:rsidRDefault="00EF4603" w:rsidP="00EF4603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saure Lösungen experimentell prüfen</w:t>
            </w:r>
          </w:p>
          <w:p w:rsidR="00EF4603" w:rsidRDefault="00EF4603" w:rsidP="00EF4603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Protonenübergänge unter Verwendung der Fac</w:t>
            </w:r>
            <w:r>
              <w:rPr>
                <w:rFonts w:cs="Arial"/>
              </w:rPr>
              <w:t>h</w:t>
            </w:r>
            <w:r>
              <w:rPr>
                <w:rFonts w:cs="Arial"/>
              </w:rPr>
              <w:t>sprache erklären</w:t>
            </w:r>
          </w:p>
          <w:p w:rsidR="006E21AC" w:rsidRPr="00EF4603" w:rsidRDefault="00EF4603" w:rsidP="00EF4603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Reaktion </w:t>
            </w:r>
            <w:r w:rsidRPr="00EF4603">
              <w:t>mit</w:t>
            </w:r>
            <w:r>
              <w:rPr>
                <w:rFonts w:cs="Arial"/>
              </w:rPr>
              <w:t xml:space="preserve"> Protonenübergang als Donator-Akzeptor-Reaktion am Beispiel der Reaktionen von Ammoniak mit  einer sauren Lösung erläutern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Pr="001F7937" w:rsidRDefault="00EF4603" w:rsidP="00EF4603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</w:tr>
      <w:tr w:rsidR="006E21AC" w:rsidTr="0042685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Default="004473F2" w:rsidP="001F793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Pr="00B6797C" w:rsidRDefault="00EF4603" w:rsidP="00EF4603">
            <w:pPr>
              <w:pStyle w:val="AnstrichTabelle"/>
              <w:numPr>
                <w:ilvl w:val="0"/>
                <w:numId w:val="14"/>
              </w:numPr>
              <w:spacing w:line="360" w:lineRule="auto"/>
              <w:jc w:val="left"/>
            </w:pPr>
            <w:r>
              <w:rPr>
                <w:rFonts w:cs="Arial"/>
              </w:rPr>
              <w:t>Bedeutung von ausgewählten Säuren beurteilen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E21AC" w:rsidRPr="001F7937" w:rsidRDefault="00EF4603" w:rsidP="008C0F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D6648" w:rsidRPr="004A5573" w:rsidRDefault="002D6648" w:rsidP="004A5573">
      <w:pPr>
        <w:spacing w:before="120" w:after="120"/>
        <w:rPr>
          <w:rStyle w:val="Hyperlink"/>
          <w:rFonts w:ascii="Arial" w:hAnsi="Arial" w:cstheme="minorBidi"/>
          <w:color w:val="auto"/>
          <w:u w:val="none"/>
        </w:rPr>
      </w:pPr>
    </w:p>
    <w:sectPr w:rsidR="002D6648" w:rsidRPr="004A5573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B0" w:rsidRDefault="00AE04B0" w:rsidP="00BE0FC0">
      <w:pPr>
        <w:spacing w:line="240" w:lineRule="auto"/>
      </w:pPr>
      <w:r>
        <w:separator/>
      </w:r>
    </w:p>
  </w:endnote>
  <w:endnote w:type="continuationSeparator" w:id="0">
    <w:p w:rsidR="00AE04B0" w:rsidRDefault="00AE04B0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052833"/>
      <w:docPartObj>
        <w:docPartGallery w:val="Page Numbers (Bottom of Page)"/>
        <w:docPartUnique/>
      </w:docPartObj>
    </w:sdtPr>
    <w:sdtEndPr/>
    <w:sdtContent>
      <w:p w:rsidR="00743B91" w:rsidRPr="00A12FAA" w:rsidRDefault="00932472" w:rsidP="00743B91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  <w:lang w:eastAsia="de-DE"/>
          </w:rPr>
          <w:pict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2049" type="#_x0000_t172" style="position:absolute;left:0;text-align:left;margin-left:56.05pt;margin-top:-444.25pt;width:338.85pt;height:194.4pt;rotation:-932592fd;z-index:-251658752;mso-wrap-edited:f;mso-position-horizontal-relative:text;mso-position-vertical-relative:text" adj="15429" fillcolor="silver" stroked="f">
              <v:fill opacity=".5"/>
              <v:shadow color="#868686"/>
              <v:textpath style="font-family:&quot;Arial Black&quot;;v-text-kern:t" trim="t" fitpath="t" string="ERPROBUNG"/>
            </v:shape>
          </w:pict>
        </w:r>
        <w:r w:rsidR="00743B91" w:rsidRPr="00A12FAA">
          <w:rPr>
            <w:sz w:val="18"/>
            <w:szCs w:val="18"/>
          </w:rPr>
          <w:t>Quelle: Bildungsserver Sachsen-Anhalt (http://www.bildung-lsa.de) | Lizenz: Creative Commons (CC BY-SA 3.0)</w:t>
        </w:r>
      </w:p>
      <w:p w:rsidR="00743B91" w:rsidRDefault="00743B91">
        <w:pPr>
          <w:pStyle w:val="Fuzeile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247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B0" w:rsidRDefault="00AE04B0" w:rsidP="00BE0FC0">
      <w:pPr>
        <w:spacing w:line="240" w:lineRule="auto"/>
      </w:pPr>
      <w:r>
        <w:separator/>
      </w:r>
    </w:p>
  </w:footnote>
  <w:footnote w:type="continuationSeparator" w:id="0">
    <w:p w:rsidR="00AE04B0" w:rsidRDefault="00AE04B0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BB"/>
    <w:multiLevelType w:val="hybridMultilevel"/>
    <w:tmpl w:val="10249F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1CA"/>
    <w:multiLevelType w:val="hybridMultilevel"/>
    <w:tmpl w:val="8D0206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D8A68BA"/>
    <w:multiLevelType w:val="hybridMultilevel"/>
    <w:tmpl w:val="DC925406"/>
    <w:lvl w:ilvl="0" w:tplc="B928AB6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D684A"/>
    <w:multiLevelType w:val="multilevel"/>
    <w:tmpl w:val="E6C4913E"/>
    <w:numStyleLink w:val="Anstrich"/>
  </w:abstractNum>
  <w:abstractNum w:abstractNumId="7">
    <w:nsid w:val="4C16225A"/>
    <w:multiLevelType w:val="hybridMultilevel"/>
    <w:tmpl w:val="088AF692"/>
    <w:lvl w:ilvl="0" w:tplc="04070003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CA3853"/>
    <w:multiLevelType w:val="hybridMultilevel"/>
    <w:tmpl w:val="05E202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82056"/>
    <w:multiLevelType w:val="hybridMultilevel"/>
    <w:tmpl w:val="1AC6A21C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582A12D1"/>
    <w:multiLevelType w:val="hybridMultilevel"/>
    <w:tmpl w:val="426CBFE2"/>
    <w:lvl w:ilvl="0" w:tplc="04070003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F17C7"/>
    <w:multiLevelType w:val="multilevel"/>
    <w:tmpl w:val="E6C4913E"/>
    <w:styleLink w:val="Anstrich"/>
    <w:lvl w:ilvl="0">
      <w:start w:val="1"/>
      <w:numFmt w:val="bullet"/>
      <w:pStyle w:val="AnstrichTabelle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FE771D"/>
    <w:multiLevelType w:val="hybridMultilevel"/>
    <w:tmpl w:val="56508DFE"/>
    <w:lvl w:ilvl="0" w:tplc="0407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847EDC"/>
    <w:multiLevelType w:val="hybridMultilevel"/>
    <w:tmpl w:val="BA8C01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23A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B5ECB"/>
    <w:multiLevelType w:val="hybridMultilevel"/>
    <w:tmpl w:val="DA62A4C4"/>
    <w:lvl w:ilvl="0" w:tplc="EC1A5C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4"/>
  </w:num>
  <w:num w:numId="5">
    <w:abstractNumId w:val="4"/>
  </w:num>
  <w:num w:numId="6">
    <w:abstractNumId w:val="17"/>
  </w:num>
  <w:num w:numId="7">
    <w:abstractNumId w:val="3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16"/>
  </w:num>
  <w:num w:numId="14">
    <w:abstractNumId w:val="6"/>
    <w:lvlOverride w:ilvl="0">
      <w:lvl w:ilvl="0">
        <w:start w:val="1"/>
        <w:numFmt w:val="bullet"/>
        <w:pStyle w:val="AnstrichTabelle"/>
        <w:lvlText w:val=""/>
        <w:lvlJc w:val="left"/>
        <w:pPr>
          <w:tabs>
            <w:tab w:val="num" w:pos="357"/>
          </w:tabs>
          <w:ind w:left="357" w:hanging="357"/>
        </w:pPr>
        <w:rPr>
          <w:rFonts w:ascii="Symbol" w:hAnsi="Symbol" w:hint="default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5">
    <w:abstractNumId w:val="6"/>
    <w:lvlOverride w:ilvl="0">
      <w:lvl w:ilvl="0">
        <w:start w:val="1"/>
        <w:numFmt w:val="bullet"/>
        <w:pStyle w:val="AnstrichTabelle"/>
        <w:lvlText w:val=""/>
        <w:lvlJc w:val="left"/>
        <w:pPr>
          <w:tabs>
            <w:tab w:val="num" w:pos="357"/>
          </w:tabs>
          <w:ind w:left="357" w:hanging="357"/>
        </w:pPr>
        <w:rPr>
          <w:rFonts w:ascii="Symbol" w:hAnsi="Symbol" w:hint="default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3"/>
  </w:num>
  <w:num w:numId="23">
    <w:abstractNumId w:val="6"/>
  </w:num>
  <w:num w:numId="24">
    <w:abstractNumId w:val="1"/>
  </w:num>
  <w:num w:numId="25">
    <w:abstractNumId w:val="15"/>
  </w:num>
  <w:num w:numId="26">
    <w:abstractNumId w:val="0"/>
  </w:num>
  <w:num w:numId="27">
    <w:abstractNumId w:val="9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7A"/>
    <w:rsid w:val="00035A21"/>
    <w:rsid w:val="00161628"/>
    <w:rsid w:val="00183987"/>
    <w:rsid w:val="001B55C9"/>
    <w:rsid w:val="001F6CA8"/>
    <w:rsid w:val="001F7937"/>
    <w:rsid w:val="00212598"/>
    <w:rsid w:val="002D6648"/>
    <w:rsid w:val="00332640"/>
    <w:rsid w:val="00386AC0"/>
    <w:rsid w:val="00426853"/>
    <w:rsid w:val="004473F2"/>
    <w:rsid w:val="004A5573"/>
    <w:rsid w:val="004A5865"/>
    <w:rsid w:val="004C2012"/>
    <w:rsid w:val="005365DA"/>
    <w:rsid w:val="005F5CCF"/>
    <w:rsid w:val="006116D0"/>
    <w:rsid w:val="00646D0F"/>
    <w:rsid w:val="00653A8E"/>
    <w:rsid w:val="006B7024"/>
    <w:rsid w:val="006E21AC"/>
    <w:rsid w:val="00743B91"/>
    <w:rsid w:val="0075178A"/>
    <w:rsid w:val="00762161"/>
    <w:rsid w:val="00792033"/>
    <w:rsid w:val="007B333E"/>
    <w:rsid w:val="00825F8C"/>
    <w:rsid w:val="0087284D"/>
    <w:rsid w:val="0088611F"/>
    <w:rsid w:val="008C0F17"/>
    <w:rsid w:val="00932472"/>
    <w:rsid w:val="009723ED"/>
    <w:rsid w:val="00A00020"/>
    <w:rsid w:val="00A45FAC"/>
    <w:rsid w:val="00AE04B0"/>
    <w:rsid w:val="00B07A9E"/>
    <w:rsid w:val="00B649B7"/>
    <w:rsid w:val="00BD55CE"/>
    <w:rsid w:val="00BE0FC0"/>
    <w:rsid w:val="00BE5348"/>
    <w:rsid w:val="00C645A9"/>
    <w:rsid w:val="00C9497A"/>
    <w:rsid w:val="00D76A90"/>
    <w:rsid w:val="00E26A57"/>
    <w:rsid w:val="00EF4603"/>
    <w:rsid w:val="00EF56A2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A5573"/>
    <w:pPr>
      <w:ind w:left="720"/>
      <w:contextualSpacing/>
    </w:pPr>
  </w:style>
  <w:style w:type="numbering" w:customStyle="1" w:styleId="Anstrich">
    <w:name w:val="Anstrich"/>
    <w:basedOn w:val="KeineListe"/>
    <w:rsid w:val="004A5573"/>
    <w:pPr>
      <w:numPr>
        <w:numId w:val="8"/>
      </w:numPr>
    </w:pPr>
  </w:style>
  <w:style w:type="paragraph" w:customStyle="1" w:styleId="AnstrichTabelle">
    <w:name w:val="Anstrich Tabelle"/>
    <w:basedOn w:val="Standard"/>
    <w:link w:val="AnstrichTabelleZchn"/>
    <w:rsid w:val="004A5573"/>
    <w:pPr>
      <w:numPr>
        <w:numId w:val="9"/>
      </w:numPr>
      <w:spacing w:line="240" w:lineRule="auto"/>
      <w:jc w:val="both"/>
    </w:pPr>
    <w:rPr>
      <w:rFonts w:eastAsia="Times New Roman" w:cs="Times New Roman"/>
      <w:szCs w:val="24"/>
      <w:lang w:eastAsia="de-DE"/>
    </w:rPr>
  </w:style>
  <w:style w:type="character" w:customStyle="1" w:styleId="AnstrichTabelleZchn">
    <w:name w:val="Anstrich Tabelle Zchn"/>
    <w:link w:val="AnstrichTabelle"/>
    <w:rsid w:val="004A5573"/>
    <w:rPr>
      <w:rFonts w:ascii="Arial" w:eastAsia="Times New Roman" w:hAnsi="Arial" w:cs="Times New Roman"/>
      <w:szCs w:val="24"/>
      <w:lang w:eastAsia="de-DE"/>
    </w:rPr>
  </w:style>
  <w:style w:type="paragraph" w:customStyle="1" w:styleId="FormatvorlageUnteraufgabenMusterTransparentElfenbein">
    <w:name w:val="Formatvorlage Unteraufgaben + Muster: Transparent (Elfenbein)"/>
    <w:basedOn w:val="Standard"/>
    <w:uiPriority w:val="99"/>
    <w:rsid w:val="00B07A9E"/>
    <w:pPr>
      <w:numPr>
        <w:numId w:val="12"/>
      </w:numPr>
    </w:pPr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rsid w:val="004473F2"/>
    <w:pPr>
      <w:spacing w:after="120" w:line="240" w:lineRule="auto"/>
    </w:pPr>
    <w:rPr>
      <w:rFonts w:eastAsia="Times New Roman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473F2"/>
    <w:rPr>
      <w:rFonts w:ascii="Arial" w:eastAsia="Times New Roman" w:hAnsi="Arial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A5573"/>
    <w:pPr>
      <w:ind w:left="720"/>
      <w:contextualSpacing/>
    </w:pPr>
  </w:style>
  <w:style w:type="numbering" w:customStyle="1" w:styleId="Anstrich">
    <w:name w:val="Anstrich"/>
    <w:basedOn w:val="KeineListe"/>
    <w:rsid w:val="004A5573"/>
    <w:pPr>
      <w:numPr>
        <w:numId w:val="8"/>
      </w:numPr>
    </w:pPr>
  </w:style>
  <w:style w:type="paragraph" w:customStyle="1" w:styleId="AnstrichTabelle">
    <w:name w:val="Anstrich Tabelle"/>
    <w:basedOn w:val="Standard"/>
    <w:link w:val="AnstrichTabelleZchn"/>
    <w:rsid w:val="004A5573"/>
    <w:pPr>
      <w:numPr>
        <w:numId w:val="9"/>
      </w:numPr>
      <w:spacing w:line="240" w:lineRule="auto"/>
      <w:jc w:val="both"/>
    </w:pPr>
    <w:rPr>
      <w:rFonts w:eastAsia="Times New Roman" w:cs="Times New Roman"/>
      <w:szCs w:val="24"/>
      <w:lang w:eastAsia="de-DE"/>
    </w:rPr>
  </w:style>
  <w:style w:type="character" w:customStyle="1" w:styleId="AnstrichTabelleZchn">
    <w:name w:val="Anstrich Tabelle Zchn"/>
    <w:link w:val="AnstrichTabelle"/>
    <w:rsid w:val="004A5573"/>
    <w:rPr>
      <w:rFonts w:ascii="Arial" w:eastAsia="Times New Roman" w:hAnsi="Arial" w:cs="Times New Roman"/>
      <w:szCs w:val="24"/>
      <w:lang w:eastAsia="de-DE"/>
    </w:rPr>
  </w:style>
  <w:style w:type="paragraph" w:customStyle="1" w:styleId="FormatvorlageUnteraufgabenMusterTransparentElfenbein">
    <w:name w:val="Formatvorlage Unteraufgaben + Muster: Transparent (Elfenbein)"/>
    <w:basedOn w:val="Standard"/>
    <w:uiPriority w:val="99"/>
    <w:rsid w:val="00B07A9E"/>
    <w:pPr>
      <w:numPr>
        <w:numId w:val="12"/>
      </w:numPr>
    </w:pPr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rsid w:val="004473F2"/>
    <w:pPr>
      <w:spacing w:after="120" w:line="240" w:lineRule="auto"/>
    </w:pPr>
    <w:rPr>
      <w:rFonts w:eastAsia="Times New Roman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473F2"/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eativecommons.org/licenses/by-sa/3.0/d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atthias.poetter@lisa.mb.sachsen-anhalt.d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4B64-7795-4083-B9AA-C911D726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9</cp:revision>
  <cp:lastPrinted>2016-06-23T13:18:00Z</cp:lastPrinted>
  <dcterms:created xsi:type="dcterms:W3CDTF">2016-06-30T08:42:00Z</dcterms:created>
  <dcterms:modified xsi:type="dcterms:W3CDTF">2016-08-08T12:50:00Z</dcterms:modified>
</cp:coreProperties>
</file>