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6C6716">
        <w:tc>
          <w:tcPr>
            <w:tcW w:w="9854" w:type="dxa"/>
            <w:shd w:val="clear" w:color="auto" w:fill="006600"/>
          </w:tcPr>
          <w:p w:rsidR="002B0659" w:rsidRDefault="00E427A1" w:rsidP="0080014C">
            <w:pPr>
              <w:spacing w:before="240"/>
              <w:jc w:val="center"/>
              <w:rPr>
                <w:rFonts w:eastAsia="Calibri"/>
                <w:b/>
                <w:color w:val="FFFFFF"/>
                <w:sz w:val="32"/>
                <w:szCs w:val="32"/>
              </w:rPr>
            </w:pPr>
            <w:bookmarkStart w:id="0" w:name="_Toc443479823"/>
            <w:bookmarkStart w:id="1" w:name="_GoBack"/>
            <w:bookmarkEnd w:id="1"/>
            <w:r w:rsidRPr="00221BF5">
              <w:rPr>
                <w:rFonts w:eastAsia="Calibri"/>
                <w:b/>
                <w:color w:val="FFFFFF"/>
                <w:sz w:val="32"/>
                <w:szCs w:val="32"/>
              </w:rPr>
              <w:t xml:space="preserve">Niveaubestimmende Aufgabe zum Fachlehrplan </w:t>
            </w:r>
            <w:r w:rsidR="00926BDE">
              <w:rPr>
                <w:rFonts w:eastAsia="Calibri"/>
                <w:b/>
                <w:color w:val="FFFFFF"/>
                <w:sz w:val="32"/>
                <w:szCs w:val="32"/>
              </w:rPr>
              <w:t>Rechnungswesen</w:t>
            </w:r>
            <w:r w:rsidR="0080014C">
              <w:rPr>
                <w:rFonts w:eastAsia="Calibri"/>
                <w:b/>
                <w:color w:val="FFFFFF"/>
                <w:sz w:val="32"/>
                <w:szCs w:val="32"/>
              </w:rPr>
              <w:t xml:space="preserve"> </w:t>
            </w:r>
          </w:p>
          <w:p w:rsidR="00E427A1" w:rsidRPr="00221BF5" w:rsidRDefault="00954F19" w:rsidP="0054340C">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926BDE">
              <w:rPr>
                <w:rFonts w:eastAsia="Calibri"/>
                <w:b/>
                <w:color w:val="FFFFFF"/>
                <w:sz w:val="28"/>
                <w:szCs w:val="28"/>
              </w:rPr>
              <w:t>Bilanz</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D43D90">
              <w:rPr>
                <w:rFonts w:eastAsia="Calibri"/>
                <w:color w:val="FFFFFF"/>
                <w:sz w:val="28"/>
                <w:szCs w:val="28"/>
              </w:rPr>
              <w:t>1</w:t>
            </w:r>
          </w:p>
          <w:p w:rsidR="00E427A1" w:rsidRPr="00221BF5" w:rsidRDefault="00E427A1" w:rsidP="00BE6ED4">
            <w:pPr>
              <w:jc w:val="center"/>
              <w:rPr>
                <w:rFonts w:eastAsia="Calibri"/>
                <w:color w:val="FFFFFF"/>
                <w:sz w:val="28"/>
                <w:szCs w:val="28"/>
              </w:rPr>
            </w:pPr>
          </w:p>
          <w:p w:rsidR="00E427A1" w:rsidRPr="00221BF5" w:rsidRDefault="00E427A1" w:rsidP="006C6716">
            <w:pPr>
              <w:jc w:val="center"/>
              <w:rPr>
                <w:rFonts w:eastAsia="Calibri"/>
                <w:lang w:eastAsia="de-DE"/>
              </w:rPr>
            </w:pPr>
            <w:r w:rsidRPr="00221BF5">
              <w:rPr>
                <w:rFonts w:eastAsia="Calibri"/>
                <w:color w:val="FFFFFF"/>
                <w:sz w:val="24"/>
              </w:rPr>
              <w:t xml:space="preserve">Arbeitsstand: </w:t>
            </w:r>
            <w:r w:rsidR="000C3B6A">
              <w:rPr>
                <w:rFonts w:eastAsia="Calibri"/>
                <w:color w:val="FFFFFF"/>
              </w:rPr>
              <w:t>2</w:t>
            </w:r>
            <w:r w:rsidR="006C6716">
              <w:rPr>
                <w:rFonts w:eastAsia="Calibri"/>
                <w:color w:val="FFFFFF"/>
              </w:rPr>
              <w:t>8</w:t>
            </w:r>
            <w:r w:rsidR="00954F19">
              <w:rPr>
                <w:rFonts w:eastAsia="Calibri"/>
                <w:color w:val="FFFFFF"/>
              </w:rPr>
              <w:t>.</w:t>
            </w:r>
            <w:r w:rsidR="002B0659">
              <w:rPr>
                <w:rFonts w:eastAsia="Calibri"/>
                <w:color w:val="FFFFFF"/>
              </w:rPr>
              <w:t>0</w:t>
            </w:r>
            <w:r w:rsidR="000C3B6A">
              <w:rPr>
                <w:rFonts w:eastAsia="Calibri"/>
                <w:color w:val="FFFFFF"/>
              </w:rPr>
              <w:t>4</w:t>
            </w:r>
            <w:r w:rsidR="00300019">
              <w:rPr>
                <w:rFonts w:eastAsia="Calibri"/>
                <w:color w:val="FFFFFF"/>
              </w:rPr>
              <w:t>.2</w:t>
            </w:r>
            <w:r w:rsidR="00954F19">
              <w:rPr>
                <w:rFonts w:eastAsia="Calibri"/>
                <w:color w:val="FFFFFF"/>
              </w:rPr>
              <w:t>01</w:t>
            </w:r>
            <w:r w:rsidR="002B0659">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6C6716">
        <w:rPr>
          <w:rFonts w:eastAsia="Calibri"/>
          <w:lang w:eastAsia="de-DE"/>
        </w:rPr>
        <w:t>andrea.neubauer@lisa.mb.sachsen-anhalt.de</w:t>
      </w:r>
    </w:p>
    <w:p w:rsidR="00E427A1"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926BDE" w:rsidRDefault="00926BDE" w:rsidP="00926BDE">
      <w:pPr>
        <w:tabs>
          <w:tab w:val="left" w:pos="2835"/>
        </w:tabs>
        <w:spacing w:line="240" w:lineRule="auto"/>
        <w:rPr>
          <w:rFonts w:cs="Arial"/>
          <w:bCs/>
        </w:rPr>
      </w:pPr>
      <w:r>
        <w:rPr>
          <w:rFonts w:cs="Arial"/>
          <w:bCs/>
        </w:rPr>
        <w:t xml:space="preserve">Gießelmann, </w:t>
      </w:r>
      <w:r w:rsidRPr="0080014C">
        <w:rPr>
          <w:rFonts w:cs="Arial"/>
          <w:bCs/>
        </w:rPr>
        <w:t>Dirk</w:t>
      </w:r>
      <w:r>
        <w:rPr>
          <w:rFonts w:cs="Arial"/>
          <w:bCs/>
        </w:rPr>
        <w:tab/>
      </w:r>
      <w:r>
        <w:rPr>
          <w:rFonts w:cs="Arial"/>
          <w:bCs/>
        </w:rPr>
        <w:tab/>
      </w:r>
      <w:r>
        <w:rPr>
          <w:rFonts w:cs="Arial"/>
          <w:bCs/>
        </w:rPr>
        <w:tab/>
      </w:r>
      <w:r>
        <w:rPr>
          <w:rFonts w:cs="Arial"/>
          <w:bCs/>
        </w:rPr>
        <w:tab/>
        <w:t>Dessau</w:t>
      </w:r>
    </w:p>
    <w:p w:rsidR="00926BDE" w:rsidRDefault="00926BDE" w:rsidP="00926BDE">
      <w:pPr>
        <w:tabs>
          <w:tab w:val="left" w:pos="2835"/>
        </w:tabs>
        <w:spacing w:line="240" w:lineRule="auto"/>
        <w:rPr>
          <w:rFonts w:cs="Arial"/>
          <w:bCs/>
        </w:rPr>
      </w:pPr>
      <w:r>
        <w:rPr>
          <w:rFonts w:cs="Arial"/>
          <w:bCs/>
        </w:rPr>
        <w:t xml:space="preserve">Hamann, </w:t>
      </w:r>
      <w:r w:rsidRPr="0080014C">
        <w:rPr>
          <w:rFonts w:cs="Arial"/>
          <w:bCs/>
        </w:rPr>
        <w:t>Ulf</w:t>
      </w:r>
      <w:r>
        <w:rPr>
          <w:rFonts w:cs="Arial"/>
          <w:bCs/>
        </w:rPr>
        <w:tab/>
      </w:r>
      <w:r>
        <w:rPr>
          <w:rFonts w:cs="Arial"/>
          <w:bCs/>
        </w:rPr>
        <w:tab/>
      </w:r>
      <w:r>
        <w:rPr>
          <w:rFonts w:cs="Arial"/>
          <w:bCs/>
        </w:rPr>
        <w:tab/>
      </w:r>
      <w:r>
        <w:rPr>
          <w:rFonts w:cs="Arial"/>
          <w:bCs/>
        </w:rPr>
        <w:tab/>
        <w:t>Stendal</w:t>
      </w:r>
    </w:p>
    <w:p w:rsidR="00926BDE" w:rsidRPr="0080014C" w:rsidRDefault="00926BDE" w:rsidP="00926BDE">
      <w:pPr>
        <w:tabs>
          <w:tab w:val="left" w:pos="2835"/>
        </w:tabs>
        <w:spacing w:line="240" w:lineRule="auto"/>
        <w:rPr>
          <w:rFonts w:cs="Arial"/>
          <w:bCs/>
        </w:rPr>
      </w:pPr>
      <w:r>
        <w:rPr>
          <w:rFonts w:cs="Arial"/>
          <w:bCs/>
        </w:rPr>
        <w:t xml:space="preserve">Rohde, </w:t>
      </w:r>
      <w:r w:rsidRPr="0080014C">
        <w:rPr>
          <w:rFonts w:cs="Arial"/>
          <w:bCs/>
        </w:rPr>
        <w:t>Inga</w:t>
      </w:r>
      <w:r>
        <w:rPr>
          <w:rFonts w:cs="Arial"/>
          <w:bCs/>
        </w:rPr>
        <w:tab/>
      </w:r>
      <w:r>
        <w:rPr>
          <w:rFonts w:cs="Arial"/>
          <w:bCs/>
        </w:rPr>
        <w:tab/>
      </w:r>
      <w:r>
        <w:rPr>
          <w:rFonts w:cs="Arial"/>
          <w:bCs/>
        </w:rPr>
        <w:tab/>
      </w:r>
      <w:r>
        <w:rPr>
          <w:rFonts w:cs="Arial"/>
          <w:bCs/>
        </w:rPr>
        <w:tab/>
        <w:t>Burg</w:t>
      </w:r>
    </w:p>
    <w:p w:rsidR="00926BDE" w:rsidRDefault="00926BDE" w:rsidP="00926BDE">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Pr>
          <w:rFonts w:cs="Arial"/>
          <w:bCs/>
        </w:rPr>
        <w:tab/>
      </w:r>
      <w:r w:rsidRPr="00A57147">
        <w:rPr>
          <w:rFonts w:cs="Arial"/>
        </w:rPr>
        <w:t>Halle (Leitung der Fachgruppe)</w:t>
      </w:r>
    </w:p>
    <w:p w:rsidR="007C025D" w:rsidRPr="0080014C" w:rsidRDefault="007C025D" w:rsidP="0080014C">
      <w:pPr>
        <w:tabs>
          <w:tab w:val="left" w:pos="2835"/>
        </w:tabs>
        <w:spacing w:line="240" w:lineRule="auto"/>
        <w:rPr>
          <w:rFonts w:cs="Arial"/>
          <w:bCs/>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6C6716">
      <w:pPr>
        <w:spacing w:line="240" w:lineRule="auto"/>
        <w:ind w:left="1560" w:right="1558"/>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p w:rsidR="00E427A1" w:rsidRPr="00221BF5" w:rsidRDefault="00E427A1" w:rsidP="00E427A1">
      <w:pPr>
        <w:spacing w:line="240" w:lineRule="auto"/>
        <w:ind w:left="1560" w:right="2125"/>
        <w:rPr>
          <w:rFonts w:eastAsia="Calibri"/>
        </w:rPr>
      </w:pP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221BF5" w:rsidRDefault="00E427A1" w:rsidP="00E427A1">
      <w:pPr>
        <w:spacing w:line="240" w:lineRule="auto"/>
        <w:rPr>
          <w:rFonts w:eastAsia="Calibri"/>
        </w:rPr>
      </w:pP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6C6716"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000B55AF" w:rsidRPr="00EC1363">
          <w:rPr>
            <w:rFonts w:eastAsia="Calibri" w:cs="Arial"/>
            <w:color w:val="0000FF"/>
            <w:sz w:val="20"/>
            <w:szCs w:val="20"/>
            <w:u w:val="single"/>
            <w:lang w:val="en-US"/>
          </w:rPr>
          <w:t>http://creativecommons.org/licenses/by-sa/3.0/de/</w:t>
        </w:r>
      </w:hyperlink>
    </w:p>
    <w:p w:rsidR="00E427A1" w:rsidRPr="006C6716"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6C6716" w:rsidRDefault="00E427A1" w:rsidP="006C6716">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6C6716" w:rsidRDefault="006C6716" w:rsidP="006C6716">
      <w:pPr>
        <w:spacing w:line="240" w:lineRule="auto"/>
        <w:rPr>
          <w:rFonts w:cs="Arial"/>
          <w:iCs/>
          <w:sz w:val="20"/>
          <w:szCs w:val="20"/>
        </w:rPr>
        <w:sectPr w:rsidR="006C6716" w:rsidSect="00271259">
          <w:footerReference w:type="default" r:id="rId13"/>
          <w:headerReference w:type="first" r:id="rId14"/>
          <w:footerReference w:type="first" r:id="rId15"/>
          <w:pgSz w:w="11906" w:h="16838" w:code="9"/>
          <w:pgMar w:top="1588" w:right="1134" w:bottom="1247" w:left="1134" w:header="964" w:footer="851" w:gutter="0"/>
          <w:pgNumType w:start="0"/>
          <w:cols w:space="708"/>
          <w:docGrid w:linePitch="360"/>
        </w:sectPr>
      </w:pPr>
    </w:p>
    <w:p w:rsidR="00D36A8A" w:rsidRDefault="00926BDE" w:rsidP="00C26810">
      <w:pPr>
        <w:pStyle w:val="berschrift1"/>
        <w:spacing w:before="0" w:after="240"/>
        <w:ind w:left="851" w:hanging="851"/>
      </w:pPr>
      <w:r>
        <w:lastRenderedPageBreak/>
        <w:t>Bilanz</w:t>
      </w:r>
    </w:p>
    <w:p w:rsidR="00D36A8A" w:rsidRDefault="00D36A8A" w:rsidP="00C26810">
      <w:pPr>
        <w:pStyle w:val="berschrift2"/>
        <w:spacing w:before="0" w:after="240"/>
        <w:ind w:left="851" w:hanging="851"/>
      </w:pPr>
      <w:r>
        <w:t>Einführungsphase</w:t>
      </w:r>
    </w:p>
    <w:p w:rsidR="00926BDE" w:rsidRPr="00926BDE" w:rsidRDefault="00926BDE" w:rsidP="002D694A">
      <w:pPr>
        <w:numPr>
          <w:ilvl w:val="0"/>
          <w:numId w:val="16"/>
        </w:numPr>
        <w:ind w:left="360"/>
        <w:jc w:val="left"/>
      </w:pPr>
      <w:r w:rsidRPr="00926BDE">
        <w:t>Erstellen Sie aus den unten gegebenen Ergebnissen der Inventur/des Inventars eine Bilanz.</w:t>
      </w:r>
    </w:p>
    <w:p w:rsidR="00926BDE" w:rsidRPr="00926BDE" w:rsidRDefault="00926BDE" w:rsidP="002D694A">
      <w:pPr>
        <w:numPr>
          <w:ilvl w:val="0"/>
          <w:numId w:val="16"/>
        </w:numPr>
        <w:ind w:left="360"/>
        <w:jc w:val="left"/>
      </w:pPr>
      <w:r w:rsidRPr="00926BDE">
        <w:t>Erklären Sie den Unterschied zwischen Inventar und Bilanz und verdeutlichen Sie anhand der Bilanzpositionen deren Gliederungskriterien.</w:t>
      </w:r>
    </w:p>
    <w:p w:rsidR="00926BDE" w:rsidRPr="00926BDE" w:rsidRDefault="00926BDE" w:rsidP="002D694A">
      <w:pPr>
        <w:numPr>
          <w:ilvl w:val="0"/>
          <w:numId w:val="16"/>
        </w:numPr>
        <w:ind w:left="360"/>
        <w:jc w:val="left"/>
      </w:pPr>
      <w:r w:rsidRPr="00926BDE">
        <w:t>Ermitteln Sie das Eigenkapital.</w:t>
      </w:r>
    </w:p>
    <w:p w:rsidR="00926BDE" w:rsidRPr="00926BDE" w:rsidRDefault="00926BDE" w:rsidP="002D694A">
      <w:pPr>
        <w:numPr>
          <w:ilvl w:val="0"/>
          <w:numId w:val="16"/>
        </w:numPr>
        <w:ind w:left="360"/>
        <w:jc w:val="left"/>
      </w:pPr>
      <w:r w:rsidRPr="00926BDE">
        <w:t>Unterscheiden Sie das Eigenkapital von den anderen Kapitalpositionen und treffen Sie eine begründete Aussage zum Verhältnis Eigen- und Fremdkapital.</w:t>
      </w:r>
    </w:p>
    <w:p w:rsidR="00926BDE" w:rsidRPr="00926BDE" w:rsidRDefault="00926BDE" w:rsidP="002D694A">
      <w:pPr>
        <w:numPr>
          <w:ilvl w:val="0"/>
          <w:numId w:val="16"/>
        </w:numPr>
        <w:ind w:left="360"/>
        <w:jc w:val="left"/>
      </w:pPr>
      <w:r w:rsidRPr="00926BDE">
        <w:t>Beurteilen Sie das Verhältnis Anlage- und Umlaufvermögen.</w:t>
      </w:r>
    </w:p>
    <w:p w:rsidR="00926BDE" w:rsidRPr="00926BDE" w:rsidRDefault="00926BDE" w:rsidP="002D694A">
      <w:pPr>
        <w:numPr>
          <w:ilvl w:val="0"/>
          <w:numId w:val="16"/>
        </w:numPr>
        <w:ind w:left="360"/>
        <w:jc w:val="left"/>
      </w:pPr>
      <w:r w:rsidRPr="00926BDE">
        <w:t xml:space="preserve">Erklären Sie die Beziehungen zwischen dem Kapital und dem Vermögensbestand. </w:t>
      </w:r>
    </w:p>
    <w:p w:rsidR="00926BDE" w:rsidRPr="00926BDE" w:rsidRDefault="00926BDE" w:rsidP="002D694A">
      <w:pPr>
        <w:numPr>
          <w:ilvl w:val="0"/>
          <w:numId w:val="16"/>
        </w:numPr>
        <w:ind w:left="360"/>
        <w:jc w:val="left"/>
      </w:pPr>
      <w:r w:rsidRPr="00926BDE">
        <w:t>Diskutieren Sie ihre Ergebnisse bezüglich einer weiteren wirtschaftlichen Entwicklung des Unternehmens.</w:t>
      </w:r>
    </w:p>
    <w:p w:rsidR="002B6E0C" w:rsidRPr="00115AA7" w:rsidRDefault="002B6E0C" w:rsidP="002B6E0C"/>
    <w:p w:rsidR="00D730CB" w:rsidRDefault="00D730CB" w:rsidP="00141E84">
      <w:pPr>
        <w:rPr>
          <w:b/>
        </w:rPr>
      </w:pPr>
      <w:r w:rsidRPr="00141E84">
        <w:rPr>
          <w:b/>
        </w:rPr>
        <w:t>Material</w:t>
      </w:r>
    </w:p>
    <w:p w:rsidR="00926BDE" w:rsidRDefault="00926BDE" w:rsidP="002D694A">
      <w:pPr>
        <w:pStyle w:val="KeinLeerraum"/>
        <w:spacing w:line="276" w:lineRule="auto"/>
        <w:rPr>
          <w:rFonts w:cs="Arial"/>
          <w:szCs w:val="22"/>
        </w:rPr>
      </w:pPr>
      <w:r w:rsidRPr="00926BDE">
        <w:rPr>
          <w:rFonts w:cs="Arial"/>
          <w:szCs w:val="22"/>
        </w:rPr>
        <w:t xml:space="preserve">Nutzen Sie zur Bearbeitung der vorstehenden Aufgaben ihr </w:t>
      </w:r>
      <w:proofErr w:type="spellStart"/>
      <w:r w:rsidRPr="00926BDE">
        <w:rPr>
          <w:rFonts w:cs="Arial"/>
          <w:szCs w:val="22"/>
        </w:rPr>
        <w:t>Rechnungswesenbuch</w:t>
      </w:r>
      <w:proofErr w:type="spellEnd"/>
      <w:r w:rsidRPr="00926BDE">
        <w:rPr>
          <w:rFonts w:cs="Arial"/>
          <w:szCs w:val="22"/>
        </w:rPr>
        <w:t>, das HGB als auch die nachfolgenden Materialien.</w:t>
      </w:r>
    </w:p>
    <w:p w:rsidR="002D694A" w:rsidRPr="00926BDE" w:rsidRDefault="002D694A" w:rsidP="002D694A">
      <w:pPr>
        <w:pStyle w:val="KeinLeerraum"/>
        <w:spacing w:line="276" w:lineRule="auto"/>
        <w:rPr>
          <w:rFonts w:cs="Arial"/>
          <w:szCs w:val="22"/>
        </w:rPr>
      </w:pPr>
    </w:p>
    <w:tbl>
      <w:tblPr>
        <w:tblStyle w:val="Tabellenraster"/>
        <w:tblW w:w="0" w:type="auto"/>
        <w:tblLayout w:type="fixed"/>
        <w:tblCellMar>
          <w:top w:w="57" w:type="dxa"/>
          <w:left w:w="57" w:type="dxa"/>
          <w:bottom w:w="57" w:type="dxa"/>
          <w:right w:w="57" w:type="dxa"/>
        </w:tblCellMar>
        <w:tblLook w:val="04A0" w:firstRow="1" w:lastRow="0" w:firstColumn="1" w:lastColumn="0" w:noHBand="0" w:noVBand="1"/>
      </w:tblPr>
      <w:tblGrid>
        <w:gridCol w:w="4606"/>
        <w:gridCol w:w="2590"/>
      </w:tblGrid>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Unbebaute Grundstücke</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375.000,00 €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Verwaltungsgebäude</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125.560,00 €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Produktionsgebäude</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525.835,00 €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Technische Anlagen</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1.456.750,00 €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Werkzeuge</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107.450,00 €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Fuhrpark</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238.835,00 €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Betriebs- und Geschäftsausstattung</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75.345,00 €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Rohstoffe, z. B. verschiedene Jeansstoffe</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435.765,00 €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Hilfsstoffe, z. B. Nähgarne, Reißverschlüsse, Knöpfe, Nieten</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87.565,00 €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Betriebsstoffe</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18.645,00 €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Forderungen</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52.856,00 €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Kassenbestand</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1.250,00 €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Bankguthaben, verschiedene Kreditinstitute</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34.750,00 €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Langfristige Bankverbindlichkeiten, verschiedene Kreditinstitute</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125.985,00 €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Verbindlichkeiten aus Lieferungen und Leistungen</w:t>
            </w:r>
          </w:p>
        </w:tc>
        <w:tc>
          <w:tcPr>
            <w:tcW w:w="2590" w:type="dxa"/>
            <w:vAlign w:val="center"/>
          </w:tcPr>
          <w:p w:rsidR="00926BDE" w:rsidRPr="00926BDE" w:rsidRDefault="00926BDE" w:rsidP="002D694A">
            <w:pPr>
              <w:spacing w:line="240" w:lineRule="auto"/>
              <w:jc w:val="right"/>
              <w:rPr>
                <w:rFonts w:cs="Arial"/>
                <w:szCs w:val="22"/>
              </w:rPr>
            </w:pPr>
            <w:r w:rsidRPr="00926BDE">
              <w:rPr>
                <w:rFonts w:cs="Arial"/>
                <w:szCs w:val="22"/>
              </w:rPr>
              <w:t>23.765,00 €</w:t>
            </w:r>
          </w:p>
        </w:tc>
      </w:tr>
      <w:tr w:rsidR="00926BDE" w:rsidTr="002D694A">
        <w:tc>
          <w:tcPr>
            <w:tcW w:w="4606" w:type="dxa"/>
            <w:vAlign w:val="center"/>
          </w:tcPr>
          <w:p w:rsidR="00926BDE" w:rsidRPr="00926BDE" w:rsidRDefault="00926BDE" w:rsidP="00926BDE">
            <w:pPr>
              <w:pStyle w:val="KeinLeerraum"/>
              <w:jc w:val="left"/>
              <w:rPr>
                <w:rFonts w:cs="Arial"/>
                <w:szCs w:val="22"/>
              </w:rPr>
            </w:pPr>
            <w:r w:rsidRPr="00926BDE">
              <w:rPr>
                <w:rFonts w:cs="Arial"/>
                <w:szCs w:val="22"/>
              </w:rPr>
              <w:t>Kurzfristige Bankverbindlichkeiten</w:t>
            </w:r>
          </w:p>
        </w:tc>
        <w:tc>
          <w:tcPr>
            <w:tcW w:w="2590" w:type="dxa"/>
            <w:vAlign w:val="center"/>
          </w:tcPr>
          <w:p w:rsidR="00926BDE" w:rsidRPr="00926BDE" w:rsidRDefault="00926BDE" w:rsidP="002D694A">
            <w:pPr>
              <w:widowControl w:val="0"/>
              <w:spacing w:line="240" w:lineRule="auto"/>
              <w:jc w:val="right"/>
              <w:rPr>
                <w:rFonts w:cs="Arial"/>
                <w:szCs w:val="22"/>
              </w:rPr>
            </w:pPr>
            <w:r w:rsidRPr="00926BDE">
              <w:rPr>
                <w:rFonts w:cs="Arial"/>
                <w:szCs w:val="22"/>
              </w:rPr>
              <w:t>5.645,00 €</w:t>
            </w:r>
          </w:p>
        </w:tc>
      </w:tr>
    </w:tbl>
    <w:p w:rsidR="00411AF0" w:rsidRDefault="00411AF0" w:rsidP="00690239">
      <w:pPr>
        <w:jc w:val="left"/>
      </w:pPr>
      <w: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411AF0" w:rsidRDefault="00926BDE" w:rsidP="000C5928">
            <w:pPr>
              <w:pStyle w:val="Listenabsatz"/>
              <w:numPr>
                <w:ilvl w:val="0"/>
                <w:numId w:val="11"/>
              </w:numPr>
              <w:jc w:val="left"/>
              <w:rPr>
                <w:rFonts w:cs="Arial"/>
                <w:szCs w:val="22"/>
              </w:rPr>
            </w:pPr>
            <w:r>
              <w:rPr>
                <w:rFonts w:cs="Arial"/>
                <w:szCs w:val="22"/>
              </w:rPr>
              <w:t>ein Geschäftsjahr abschließen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54340C">
              <w:rPr>
                <w:rFonts w:cs="Arial"/>
                <w:szCs w:val="22"/>
                <w:u w:val="single"/>
              </w:rPr>
              <w:t>:</w:t>
            </w:r>
          </w:p>
          <w:p w:rsidR="00926BDE" w:rsidRPr="00926BDE" w:rsidRDefault="00926BDE" w:rsidP="00926BDE">
            <w:pPr>
              <w:pStyle w:val="Listenabsatz"/>
              <w:numPr>
                <w:ilvl w:val="0"/>
                <w:numId w:val="11"/>
              </w:numPr>
              <w:jc w:val="left"/>
              <w:rPr>
                <w:rFonts w:cs="Arial"/>
                <w:szCs w:val="22"/>
              </w:rPr>
            </w:pPr>
            <w:r w:rsidRPr="00926BDE">
              <w:rPr>
                <w:rFonts w:cs="Arial"/>
                <w:szCs w:val="22"/>
              </w:rPr>
              <w:t>Inhalte von Sach-/Fachtexten selbst</w:t>
            </w:r>
            <w:r w:rsidR="002D694A">
              <w:rPr>
                <w:rFonts w:cs="Arial"/>
                <w:szCs w:val="22"/>
              </w:rPr>
              <w:t>st</w:t>
            </w:r>
            <w:r w:rsidRPr="00926BDE">
              <w:rPr>
                <w:rFonts w:cs="Arial"/>
                <w:szCs w:val="22"/>
              </w:rPr>
              <w:t>ändig erschließen und adressatengerecht aufbereiten</w:t>
            </w:r>
          </w:p>
          <w:p w:rsidR="00926BDE" w:rsidRPr="00926BDE" w:rsidRDefault="00926BDE" w:rsidP="00926BDE">
            <w:pPr>
              <w:pStyle w:val="Listenabsatz"/>
              <w:numPr>
                <w:ilvl w:val="0"/>
                <w:numId w:val="11"/>
              </w:numPr>
              <w:jc w:val="left"/>
              <w:rPr>
                <w:rFonts w:cs="Arial"/>
                <w:szCs w:val="22"/>
              </w:rPr>
            </w:pPr>
            <w:r w:rsidRPr="00926BDE">
              <w:rPr>
                <w:rFonts w:cs="Arial"/>
                <w:szCs w:val="22"/>
              </w:rPr>
              <w:t>Informationen gewinnen, bewerten und begründet präsentieren</w:t>
            </w:r>
          </w:p>
          <w:p w:rsidR="00926BDE" w:rsidRPr="00926BDE" w:rsidRDefault="00926BDE" w:rsidP="00926BDE">
            <w:pPr>
              <w:pStyle w:val="Listenabsatz"/>
              <w:numPr>
                <w:ilvl w:val="0"/>
                <w:numId w:val="11"/>
              </w:numPr>
              <w:jc w:val="left"/>
              <w:rPr>
                <w:rFonts w:cs="Arial"/>
                <w:szCs w:val="22"/>
              </w:rPr>
            </w:pPr>
            <w:r w:rsidRPr="00926BDE">
              <w:rPr>
                <w:rFonts w:cs="Arial"/>
                <w:szCs w:val="22"/>
              </w:rPr>
              <w:t>Ergebnisse mit e</w:t>
            </w:r>
            <w:r w:rsidR="00E21989">
              <w:rPr>
                <w:rFonts w:cs="Arial"/>
                <w:szCs w:val="22"/>
              </w:rPr>
              <w:t>ntsprechenden Medien darstellen</w:t>
            </w:r>
          </w:p>
          <w:p w:rsidR="00AE273B" w:rsidRPr="00411AF0" w:rsidRDefault="00926BDE" w:rsidP="00926BDE">
            <w:pPr>
              <w:pStyle w:val="Listenabsatz"/>
              <w:numPr>
                <w:ilvl w:val="0"/>
                <w:numId w:val="11"/>
              </w:numPr>
              <w:jc w:val="left"/>
              <w:rPr>
                <w:rFonts w:cs="Arial"/>
                <w:szCs w:val="22"/>
              </w:rPr>
            </w:pPr>
            <w:r w:rsidRPr="00926BDE">
              <w:rPr>
                <w:rFonts w:cs="Arial"/>
                <w:szCs w:val="22"/>
              </w:rPr>
              <w:t>w</w:t>
            </w:r>
            <w:r w:rsidR="00E21989">
              <w:rPr>
                <w:rFonts w:cs="Arial"/>
                <w:szCs w:val="22"/>
              </w:rPr>
              <w:t>ährend</w:t>
            </w:r>
            <w:r w:rsidRPr="00926BDE">
              <w:rPr>
                <w:rFonts w:cs="Arial"/>
                <w:szCs w:val="22"/>
              </w:rPr>
              <w:t xml:space="preserve"> </w:t>
            </w:r>
            <w:r w:rsidR="00E21989">
              <w:rPr>
                <w:rFonts w:cs="Arial"/>
                <w:szCs w:val="22"/>
              </w:rPr>
              <w:t>s</w:t>
            </w:r>
            <w:r w:rsidRPr="00926BDE">
              <w:rPr>
                <w:rFonts w:cs="Arial"/>
                <w:szCs w:val="22"/>
              </w:rPr>
              <w:t xml:space="preserve">ie die Ergebnisse ihrer Mitschülerinnen </w:t>
            </w:r>
            <w:r w:rsidR="00E21989">
              <w:rPr>
                <w:rFonts w:cs="Arial"/>
                <w:szCs w:val="22"/>
              </w:rPr>
              <w:t xml:space="preserve">und Mitschüler </w:t>
            </w:r>
            <w:r w:rsidRPr="00926BDE">
              <w:rPr>
                <w:rFonts w:cs="Arial"/>
                <w:szCs w:val="22"/>
              </w:rPr>
              <w:t>diskutieren</w:t>
            </w:r>
            <w:r w:rsidR="00E21989">
              <w:rPr>
                <w:rFonts w:cs="Arial"/>
                <w:szCs w:val="22"/>
              </w:rPr>
              <w:t xml:space="preserve">, </w:t>
            </w:r>
            <w:r w:rsidR="00E21989" w:rsidRPr="00926BDE">
              <w:rPr>
                <w:rFonts w:cs="Arial"/>
                <w:szCs w:val="22"/>
              </w:rPr>
              <w:t>a</w:t>
            </w:r>
            <w:r w:rsidR="00E21989">
              <w:rPr>
                <w:rFonts w:cs="Arial"/>
                <w:szCs w:val="22"/>
              </w:rPr>
              <w:t>chtungsvoll miteinander umgehen</w:t>
            </w:r>
          </w:p>
          <w:p w:rsidR="0014315D" w:rsidRPr="0014315D" w:rsidRDefault="0014315D" w:rsidP="0014315D">
            <w:pPr>
              <w:jc w:val="left"/>
              <w:rPr>
                <w:rFonts w:cs="Arial"/>
                <w:szCs w:val="22"/>
                <w:u w:val="single"/>
              </w:rPr>
            </w:pPr>
            <w:r w:rsidRPr="0014315D">
              <w:rPr>
                <w:rFonts w:cs="Arial"/>
                <w:szCs w:val="22"/>
                <w:u w:val="single"/>
              </w:rPr>
              <w:t>zu entwickelnde fachspezifische Kompetenzen</w:t>
            </w:r>
            <w:r>
              <w:rPr>
                <w:rFonts w:cs="Arial"/>
                <w:szCs w:val="22"/>
                <w:u w:val="single"/>
              </w:rPr>
              <w:t>:</w:t>
            </w:r>
          </w:p>
          <w:p w:rsidR="00C37F00" w:rsidRPr="00C37F00" w:rsidRDefault="00E21989" w:rsidP="00C37F00">
            <w:pPr>
              <w:pStyle w:val="Listenabsatz"/>
              <w:numPr>
                <w:ilvl w:val="0"/>
                <w:numId w:val="12"/>
              </w:numPr>
              <w:rPr>
                <w:rFonts w:cs="Arial"/>
                <w:szCs w:val="22"/>
              </w:rPr>
            </w:pPr>
            <w:r>
              <w:rPr>
                <w:rFonts w:cs="Arial"/>
                <w:szCs w:val="22"/>
              </w:rPr>
              <w:t>e</w:t>
            </w:r>
            <w:r w:rsidR="00C37F00" w:rsidRPr="00C37F00">
              <w:rPr>
                <w:rFonts w:cs="Arial"/>
                <w:szCs w:val="22"/>
              </w:rPr>
              <w:t>ine Inventur durchführen und die damit erfassten Bestände in ein Inventar überführen sowie Vermögensposten und Schulden in einer Bilanz gegenüber stellen, u</w:t>
            </w:r>
            <w:r>
              <w:rPr>
                <w:rFonts w:cs="Arial"/>
                <w:szCs w:val="22"/>
              </w:rPr>
              <w:t>m das Eigenkapital zu ermitteln</w:t>
            </w:r>
          </w:p>
          <w:p w:rsidR="00C37F00" w:rsidRPr="00C37F00" w:rsidRDefault="00C37F00" w:rsidP="00C37F00">
            <w:pPr>
              <w:pStyle w:val="Listenabsatz"/>
              <w:numPr>
                <w:ilvl w:val="0"/>
                <w:numId w:val="12"/>
              </w:numPr>
              <w:rPr>
                <w:rFonts w:cs="Arial"/>
                <w:szCs w:val="22"/>
              </w:rPr>
            </w:pPr>
            <w:r w:rsidRPr="00C37F00">
              <w:rPr>
                <w:rFonts w:cs="Arial"/>
                <w:szCs w:val="22"/>
              </w:rPr>
              <w:t>die wirtschaftliche Situation eines Unternehmens a</w:t>
            </w:r>
            <w:r w:rsidR="00E21989">
              <w:rPr>
                <w:rFonts w:cs="Arial"/>
                <w:szCs w:val="22"/>
              </w:rPr>
              <w:t>nhand seiner Bilanz untersuchen</w:t>
            </w:r>
          </w:p>
          <w:p w:rsidR="00AE273B" w:rsidRPr="00C37F00" w:rsidRDefault="00C37F00" w:rsidP="00C37F00">
            <w:pPr>
              <w:pStyle w:val="Listenabsatz"/>
              <w:numPr>
                <w:ilvl w:val="0"/>
                <w:numId w:val="12"/>
              </w:numPr>
              <w:jc w:val="left"/>
              <w:rPr>
                <w:rFonts w:cs="Arial"/>
                <w:szCs w:val="22"/>
              </w:rPr>
            </w:pPr>
            <w:r w:rsidRPr="00C37F00">
              <w:rPr>
                <w:rFonts w:cs="Arial"/>
                <w:szCs w:val="22"/>
              </w:rPr>
              <w:t>zur Einhaltung gesetzlicher Vorgaben die Grundsätze der Ordnungsmäßigkeit der Finanzbuchführung überprüfen und interpretieren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C37F00" w:rsidRPr="00C37F00" w:rsidRDefault="00C37F00" w:rsidP="00C37F00">
            <w:pPr>
              <w:pStyle w:val="Listenabsatz"/>
              <w:numPr>
                <w:ilvl w:val="0"/>
                <w:numId w:val="13"/>
              </w:numPr>
              <w:jc w:val="left"/>
              <w:rPr>
                <w:rFonts w:cs="Arial"/>
                <w:szCs w:val="22"/>
              </w:rPr>
            </w:pPr>
            <w:r w:rsidRPr="00C37F00">
              <w:rPr>
                <w:rFonts w:cs="Arial"/>
                <w:szCs w:val="22"/>
              </w:rPr>
              <w:t>Grundsätze ordnungsgemäßer Buchführung (Abgabenordnung und Handelsgesetzbuch)</w:t>
            </w:r>
          </w:p>
          <w:p w:rsidR="008F4E55" w:rsidRPr="00C37F00" w:rsidRDefault="00C37F00" w:rsidP="00C37F00">
            <w:pPr>
              <w:pStyle w:val="Listenabsatz"/>
              <w:numPr>
                <w:ilvl w:val="0"/>
                <w:numId w:val="13"/>
              </w:numPr>
              <w:jc w:val="left"/>
              <w:rPr>
                <w:rFonts w:cs="Arial"/>
                <w:szCs w:val="22"/>
              </w:rPr>
            </w:pPr>
            <w:r>
              <w:rPr>
                <w:rFonts w:cs="Arial"/>
                <w:szCs w:val="22"/>
              </w:rPr>
              <w:t xml:space="preserve">Fachbegriffe der Finanzbuchführung (z. B. Kontoführung, </w:t>
            </w:r>
            <w:r w:rsidRPr="00C37F00">
              <w:rPr>
                <w:rFonts w:cs="Arial"/>
                <w:szCs w:val="22"/>
              </w:rPr>
              <w:t>Aktiva, Passiva</w:t>
            </w:r>
            <w:r>
              <w:rPr>
                <w:rFonts w:cs="Arial"/>
                <w:szCs w:val="22"/>
              </w:rPr>
              <w:t>)</w:t>
            </w:r>
          </w:p>
        </w:tc>
      </w:tr>
    </w:tbl>
    <w:p w:rsidR="00980B7D" w:rsidRDefault="00980B7D" w:rsidP="003F2306">
      <w:pPr>
        <w:rPr>
          <w:rFonts w:cs="Arial"/>
          <w:sz w:val="20"/>
          <w:szCs w:val="20"/>
        </w:rPr>
      </w:pPr>
    </w:p>
    <w:p w:rsidR="00980B7D" w:rsidRPr="0014315D" w:rsidRDefault="00980B7D" w:rsidP="00411AF0">
      <w:pPr>
        <w:rPr>
          <w:b/>
        </w:rPr>
      </w:pPr>
      <w:r w:rsidRPr="0014315D">
        <w:rPr>
          <w:b/>
        </w:rPr>
        <w:t>Anregungen und Hinweise zum unterrichtlichen Einsatz</w:t>
      </w:r>
    </w:p>
    <w:p w:rsidR="00926BDE" w:rsidRPr="00926BDE" w:rsidRDefault="00926BDE" w:rsidP="00C37F00">
      <w:pPr>
        <w:pStyle w:val="KeinLeerraum"/>
        <w:spacing w:line="360" w:lineRule="auto"/>
        <w:rPr>
          <w:rFonts w:cs="Arial"/>
          <w:szCs w:val="22"/>
        </w:rPr>
      </w:pPr>
      <w:r w:rsidRPr="00926BDE">
        <w:rPr>
          <w:rFonts w:cs="Arial"/>
          <w:szCs w:val="22"/>
        </w:rPr>
        <w:t xml:space="preserve">Die Schülerinnen und Schüler nutzen ihr </w:t>
      </w:r>
      <w:proofErr w:type="spellStart"/>
      <w:r w:rsidRPr="00926BDE">
        <w:rPr>
          <w:rFonts w:cs="Arial"/>
          <w:szCs w:val="22"/>
        </w:rPr>
        <w:t>Rechnungswesenbuch</w:t>
      </w:r>
      <w:proofErr w:type="spellEnd"/>
      <w:r w:rsidRPr="00926BDE">
        <w:rPr>
          <w:rFonts w:cs="Arial"/>
          <w:szCs w:val="22"/>
        </w:rPr>
        <w:t xml:space="preserve"> und das HGB, um sich selbst</w:t>
      </w:r>
      <w:r w:rsidR="00E21989">
        <w:rPr>
          <w:rFonts w:cs="Arial"/>
          <w:szCs w:val="22"/>
        </w:rPr>
        <w:t>st</w:t>
      </w:r>
      <w:r w:rsidRPr="00926BDE">
        <w:rPr>
          <w:rFonts w:cs="Arial"/>
          <w:szCs w:val="22"/>
        </w:rPr>
        <w:t>ändig die rechtlichen Grundlagen der Ordnungsmäßigkeit der Buchführung in Bezug des Erstellens eines Inventars und der Bilanz zu erarbeiten. Es ist auch eine Internetrecherche möglich.</w:t>
      </w:r>
    </w:p>
    <w:p w:rsidR="00926BDE" w:rsidRPr="00926BDE" w:rsidRDefault="00926BDE" w:rsidP="00C37F00">
      <w:pPr>
        <w:pStyle w:val="KeinLeerraum"/>
        <w:spacing w:line="360" w:lineRule="auto"/>
        <w:rPr>
          <w:rFonts w:cs="Arial"/>
          <w:szCs w:val="22"/>
        </w:rPr>
      </w:pPr>
      <w:r w:rsidRPr="00926BDE">
        <w:rPr>
          <w:rFonts w:cs="Arial"/>
          <w:szCs w:val="22"/>
        </w:rPr>
        <w:t xml:space="preserve">Zum Erstellen des Inventars und der Bilanz könnte ein Tabellenkalkulationsprogramm genutzt werden. </w:t>
      </w:r>
    </w:p>
    <w:p w:rsidR="00926BDE" w:rsidRPr="00926BDE" w:rsidRDefault="00926BDE" w:rsidP="00C37F00">
      <w:pPr>
        <w:pStyle w:val="KeinLeerraum"/>
        <w:spacing w:line="360" w:lineRule="auto"/>
        <w:rPr>
          <w:rFonts w:cs="Arial"/>
          <w:szCs w:val="22"/>
        </w:rPr>
      </w:pPr>
      <w:r w:rsidRPr="00926BDE">
        <w:rPr>
          <w:rFonts w:cs="Arial"/>
          <w:szCs w:val="22"/>
        </w:rPr>
        <w:t xml:space="preserve">Für das </w:t>
      </w:r>
      <w:r>
        <w:rPr>
          <w:rFonts w:cs="Arial"/>
          <w:szCs w:val="22"/>
        </w:rPr>
        <w:t>Be</w:t>
      </w:r>
      <w:r w:rsidRPr="00926BDE">
        <w:rPr>
          <w:rFonts w:cs="Arial"/>
          <w:szCs w:val="22"/>
        </w:rPr>
        <w:t xml:space="preserve">arbeiten </w:t>
      </w:r>
      <w:r>
        <w:rPr>
          <w:rFonts w:cs="Arial"/>
          <w:szCs w:val="22"/>
        </w:rPr>
        <w:t xml:space="preserve">dieser Aufgabenstellung </w:t>
      </w:r>
      <w:r w:rsidRPr="00926BDE">
        <w:rPr>
          <w:rFonts w:cs="Arial"/>
          <w:szCs w:val="22"/>
        </w:rPr>
        <w:t xml:space="preserve">sollten </w:t>
      </w:r>
      <w:r>
        <w:rPr>
          <w:rFonts w:cs="Arial"/>
          <w:szCs w:val="22"/>
        </w:rPr>
        <w:t>zwei Unterrichtsstunden</w:t>
      </w:r>
      <w:r w:rsidRPr="00926BDE">
        <w:rPr>
          <w:rFonts w:cs="Arial"/>
          <w:szCs w:val="22"/>
        </w:rPr>
        <w:t xml:space="preserve"> angesetzt werden.</w:t>
      </w:r>
    </w:p>
    <w:p w:rsidR="00AE273B" w:rsidRDefault="00AE273B" w:rsidP="00C37F00">
      <w:pPr>
        <w:rPr>
          <w:rFonts w:cs="Arial"/>
          <w:b/>
          <w:sz w:val="20"/>
          <w:szCs w:val="20"/>
          <w:u w:val="single"/>
        </w:rPr>
      </w:pPr>
    </w:p>
    <w:p w:rsidR="00411AF0" w:rsidRDefault="00980B7D" w:rsidP="00D43D90">
      <w:pPr>
        <w:rPr>
          <w:b/>
        </w:rPr>
      </w:pPr>
      <w:r w:rsidRPr="0014315D">
        <w:rPr>
          <w:b/>
        </w:rPr>
        <w:t>Variationsmöglichkeiten</w:t>
      </w:r>
    </w:p>
    <w:p w:rsidR="00C37F00" w:rsidRPr="00C37F00" w:rsidRDefault="00C37F00" w:rsidP="00C37F00">
      <w:pPr>
        <w:rPr>
          <w:rFonts w:cs="Arial"/>
          <w:bCs/>
          <w:color w:val="000000"/>
          <w:szCs w:val="22"/>
        </w:rPr>
      </w:pPr>
      <w:r w:rsidRPr="00C37F00">
        <w:rPr>
          <w:rFonts w:cs="Arial"/>
          <w:bCs/>
          <w:color w:val="000000"/>
          <w:szCs w:val="22"/>
        </w:rPr>
        <w:t xml:space="preserve">Es können andere Produktionsunternehmen gewählt bzw. genutzt werden, die aus der Lebensumwelt der Schülerinnen </w:t>
      </w:r>
      <w:r w:rsidR="00E21989">
        <w:rPr>
          <w:rFonts w:cs="Arial"/>
          <w:bCs/>
          <w:color w:val="000000"/>
          <w:szCs w:val="22"/>
        </w:rPr>
        <w:t xml:space="preserve">und Schüler </w:t>
      </w:r>
      <w:r w:rsidRPr="00C37F00">
        <w:rPr>
          <w:rFonts w:cs="Arial"/>
          <w:bCs/>
          <w:color w:val="000000"/>
          <w:szCs w:val="22"/>
        </w:rPr>
        <w:t>kommen, z.</w:t>
      </w:r>
      <w:r w:rsidR="00E21989">
        <w:rPr>
          <w:rFonts w:cs="Arial"/>
          <w:bCs/>
          <w:color w:val="000000"/>
          <w:szCs w:val="22"/>
        </w:rPr>
        <w:t> </w:t>
      </w:r>
      <w:r w:rsidRPr="00C37F00">
        <w:rPr>
          <w:rFonts w:cs="Arial"/>
          <w:bCs/>
          <w:color w:val="000000"/>
          <w:szCs w:val="22"/>
        </w:rPr>
        <w:t>B. aus dem Lebensmittelbereich – wie Pizzahers</w:t>
      </w:r>
      <w:r w:rsidR="00E21989">
        <w:rPr>
          <w:rFonts w:cs="Arial"/>
          <w:bCs/>
          <w:color w:val="000000"/>
          <w:szCs w:val="22"/>
        </w:rPr>
        <w:t>tellung, da hier mit den Schüler</w:t>
      </w:r>
      <w:r w:rsidRPr="00C37F00">
        <w:rPr>
          <w:rFonts w:cs="Arial"/>
          <w:bCs/>
          <w:color w:val="000000"/>
          <w:szCs w:val="22"/>
        </w:rPr>
        <w:t xml:space="preserve">innen </w:t>
      </w:r>
      <w:r w:rsidR="00E21989">
        <w:rPr>
          <w:rFonts w:cs="Arial"/>
          <w:bCs/>
          <w:color w:val="000000"/>
          <w:szCs w:val="22"/>
        </w:rPr>
        <w:t xml:space="preserve">und Schülern </w:t>
      </w:r>
      <w:r w:rsidRPr="00C37F00">
        <w:rPr>
          <w:rFonts w:cs="Arial"/>
          <w:bCs/>
          <w:color w:val="000000"/>
          <w:szCs w:val="22"/>
        </w:rPr>
        <w:t xml:space="preserve">gut die Ausgangssituation bezogen </w:t>
      </w:r>
      <w:r w:rsidRPr="00C37F00">
        <w:rPr>
          <w:rFonts w:cs="Arial"/>
          <w:bCs/>
          <w:color w:val="000000"/>
          <w:szCs w:val="22"/>
        </w:rPr>
        <w:lastRenderedPageBreak/>
        <w:t>auf die betriebliche Ausstattung, den Herstellungsprozess</w:t>
      </w:r>
      <w:r w:rsidR="00AE3DE4">
        <w:rPr>
          <w:rFonts w:cs="Arial"/>
          <w:bCs/>
          <w:color w:val="000000"/>
          <w:szCs w:val="22"/>
        </w:rPr>
        <w:t xml:space="preserve"> und</w:t>
      </w:r>
      <w:r w:rsidRPr="00C37F00">
        <w:rPr>
          <w:rFonts w:cs="Arial"/>
          <w:bCs/>
          <w:color w:val="000000"/>
          <w:szCs w:val="22"/>
        </w:rPr>
        <w:t xml:space="preserve"> d</w:t>
      </w:r>
      <w:r w:rsidR="00E21989">
        <w:rPr>
          <w:rFonts w:cs="Arial"/>
          <w:bCs/>
          <w:color w:val="000000"/>
          <w:szCs w:val="22"/>
        </w:rPr>
        <w:t>i</w:t>
      </w:r>
      <w:r w:rsidRPr="00C37F00">
        <w:rPr>
          <w:rFonts w:cs="Arial"/>
          <w:bCs/>
          <w:color w:val="000000"/>
          <w:szCs w:val="22"/>
        </w:rPr>
        <w:t>e Zutaten (Roh-, Hilfsstoffe) erfassbar sind.</w:t>
      </w:r>
    </w:p>
    <w:p w:rsidR="00C37F00" w:rsidRPr="00C37F00" w:rsidRDefault="00C37F00" w:rsidP="00C37F00">
      <w:pPr>
        <w:rPr>
          <w:rFonts w:cs="Arial"/>
          <w:bCs/>
          <w:color w:val="000000"/>
          <w:szCs w:val="22"/>
        </w:rPr>
      </w:pPr>
      <w:r w:rsidRPr="00C37F00">
        <w:rPr>
          <w:rFonts w:cs="Arial"/>
          <w:bCs/>
          <w:color w:val="000000"/>
          <w:szCs w:val="22"/>
        </w:rPr>
        <w:t xml:space="preserve">Die Nutzung eines Tabellenkalkulationsprogramms ist nicht zwingend erforderlich, jedoch könnten mit einer entsprechenden Ausgangssituation nachfolgende Lernsituationen aufbauend bearbeitet werden und die Schülerinnen </w:t>
      </w:r>
      <w:r w:rsidR="00AE3DE4">
        <w:rPr>
          <w:rFonts w:cs="Arial"/>
          <w:bCs/>
          <w:color w:val="000000"/>
          <w:szCs w:val="22"/>
        </w:rPr>
        <w:t xml:space="preserve">und Schüler </w:t>
      </w:r>
      <w:r w:rsidRPr="00C37F00">
        <w:rPr>
          <w:rFonts w:cs="Arial"/>
          <w:bCs/>
          <w:color w:val="000000"/>
          <w:szCs w:val="22"/>
        </w:rPr>
        <w:t>ihre Kompetenzen weiter entwickeln.</w:t>
      </w:r>
    </w:p>
    <w:p w:rsidR="00423FAA" w:rsidRDefault="00423FAA">
      <w:pPr>
        <w:spacing w:line="240" w:lineRule="auto"/>
        <w:jc w:val="left"/>
        <w:rPr>
          <w:rFonts w:cs="Arial"/>
          <w:bCs/>
          <w:color w:val="000000"/>
          <w:sz w:val="20"/>
          <w:szCs w:val="20"/>
        </w:rPr>
      </w:pPr>
      <w:r>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DD7CDA">
        <w:trPr>
          <w:trHeight w:val="1022"/>
        </w:trPr>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3E36DC" w:rsidRDefault="003E36DC" w:rsidP="00DD7CDA">
            <w:pPr>
              <w:jc w:val="center"/>
              <w:rPr>
                <w:rFonts w:cs="Arial"/>
                <w:b/>
                <w:bCs/>
                <w:color w:val="000000"/>
                <w:szCs w:val="22"/>
              </w:rPr>
            </w:pPr>
            <w:r>
              <w:rPr>
                <w:rFonts w:cs="Arial"/>
                <w:b/>
                <w:bCs/>
                <w:color w:val="000000"/>
                <w:szCs w:val="22"/>
              </w:rPr>
              <w:t>AFB</w:t>
            </w:r>
          </w:p>
          <w:p w:rsidR="001A6121" w:rsidRPr="00A32381" w:rsidRDefault="001A6121" w:rsidP="00DD7CDA">
            <w:pPr>
              <w:jc w:val="center"/>
              <w:rPr>
                <w:rFonts w:cs="Arial"/>
                <w:b/>
                <w:bCs/>
                <w:color w:val="000000"/>
                <w:szCs w:val="22"/>
              </w:rPr>
            </w:pPr>
            <w:proofErr w:type="spellStart"/>
            <w:r w:rsidRPr="00A32381">
              <w:rPr>
                <w:rFonts w:cs="Arial"/>
                <w:b/>
                <w:bCs/>
                <w:color w:val="000000"/>
                <w:szCs w:val="22"/>
              </w:rPr>
              <w:t>prozent</w:t>
            </w:r>
            <w:proofErr w:type="spellEnd"/>
            <w:r w:rsidRPr="00A32381">
              <w:rPr>
                <w:rFonts w:cs="Arial"/>
                <w:b/>
                <w:bCs/>
                <w:color w:val="000000"/>
                <w:szCs w:val="22"/>
              </w:rPr>
              <w:t>.</w:t>
            </w:r>
          </w:p>
          <w:p w:rsidR="001A6121" w:rsidRPr="009F1896" w:rsidRDefault="001A6121" w:rsidP="00DD7CDA">
            <w:pPr>
              <w:spacing w:line="240" w:lineRule="auto"/>
              <w:jc w:val="center"/>
              <w:rPr>
                <w:rFonts w:cs="Arial"/>
                <w:b/>
                <w:bCs/>
                <w:color w:val="000000"/>
                <w:sz w:val="20"/>
                <w:szCs w:val="20"/>
              </w:rPr>
            </w:pPr>
            <w:r w:rsidRPr="00A32381">
              <w:rPr>
                <w:rFonts w:cs="Arial"/>
                <w:b/>
                <w:bCs/>
                <w:color w:val="000000"/>
                <w:szCs w:val="22"/>
              </w:rPr>
              <w:t>Anteil</w:t>
            </w:r>
          </w:p>
        </w:tc>
      </w:tr>
      <w:tr w:rsidR="001A6121" w:rsidTr="00A32381">
        <w:tc>
          <w:tcPr>
            <w:tcW w:w="1211" w:type="dxa"/>
            <w:tcBorders>
              <w:top w:val="single" w:sz="6" w:space="0" w:color="auto"/>
            </w:tcBorders>
          </w:tcPr>
          <w:p w:rsidR="001A6121" w:rsidRPr="00A32381" w:rsidRDefault="00D43D90" w:rsidP="0054340C">
            <w:pPr>
              <w:jc w:val="center"/>
              <w:rPr>
                <w:rFonts w:cs="Arial"/>
                <w:bCs/>
                <w:color w:val="000000"/>
                <w:szCs w:val="22"/>
              </w:rPr>
            </w:pPr>
            <w:r>
              <w:rPr>
                <w:rFonts w:cs="Arial"/>
                <w:bCs/>
                <w:color w:val="000000"/>
                <w:szCs w:val="22"/>
              </w:rPr>
              <w:t>1</w:t>
            </w:r>
          </w:p>
        </w:tc>
        <w:tc>
          <w:tcPr>
            <w:tcW w:w="7488" w:type="dxa"/>
            <w:tcBorders>
              <w:top w:val="single" w:sz="6" w:space="0" w:color="auto"/>
            </w:tcBorders>
          </w:tcPr>
          <w:p w:rsidR="00D43D90" w:rsidRDefault="00D43D90" w:rsidP="003E36DC">
            <w:pPr>
              <w:spacing w:after="240"/>
              <w:jc w:val="left"/>
            </w:pPr>
            <w:r>
              <w:t>Die Schülerinnen und Schüler können</w:t>
            </w:r>
            <w:r w:rsidR="00C37F00">
              <w:t xml:space="preserve"> die Bilanz ähnlich diesem Muster erstellen:</w:t>
            </w:r>
          </w:p>
          <w:p w:rsidR="00C37F00" w:rsidRPr="00AF4C2C" w:rsidRDefault="00C37F00" w:rsidP="003E36DC">
            <w:pPr>
              <w:rPr>
                <w:rFonts w:cs="Arial"/>
                <w:bCs/>
                <w:color w:val="000000"/>
                <w:u w:val="single"/>
              </w:rPr>
            </w:pPr>
            <w:r w:rsidRPr="00AF4C2C">
              <w:rPr>
                <w:rFonts w:cs="Arial"/>
                <w:bCs/>
                <w:color w:val="000000"/>
                <w:u w:val="single"/>
              </w:rPr>
              <w:t>Aktiva                         Bilanz zum 31.12.20xx                             Passiva</w:t>
            </w:r>
          </w:p>
          <w:p w:rsidR="00C37F00" w:rsidRPr="00AF4C2C" w:rsidRDefault="00C37F00" w:rsidP="00C37F00">
            <w:pPr>
              <w:rPr>
                <w:rFonts w:cs="Arial"/>
                <w:bCs/>
                <w:color w:val="000000"/>
                <w:u w:val="single"/>
              </w:rPr>
            </w:pPr>
            <w:r w:rsidRPr="00AF4C2C">
              <w:rPr>
                <w:rFonts w:cs="Arial"/>
                <w:bCs/>
                <w:color w:val="000000"/>
                <w:u w:val="single"/>
              </w:rPr>
              <w:t xml:space="preserve">I. Anlagevermögen                              </w:t>
            </w:r>
            <w:r>
              <w:rPr>
                <w:rFonts w:cs="Arial"/>
                <w:bCs/>
                <w:color w:val="000000"/>
                <w:u w:val="single"/>
              </w:rPr>
              <w:t xml:space="preserve"> </w:t>
            </w:r>
            <w:r w:rsidRPr="00AF4C2C">
              <w:rPr>
                <w:rFonts w:cs="Arial"/>
                <w:bCs/>
                <w:color w:val="000000"/>
                <w:u w:val="single"/>
              </w:rPr>
              <w:t>I. Eigenkapital</w:t>
            </w:r>
          </w:p>
          <w:p w:rsidR="00C37F00" w:rsidRPr="00AF4C2C" w:rsidRDefault="00C37F00" w:rsidP="00C37F00">
            <w:pPr>
              <w:rPr>
                <w:rFonts w:cs="Arial"/>
                <w:bCs/>
                <w:color w:val="000000"/>
              </w:rPr>
            </w:pPr>
            <w:proofErr w:type="spellStart"/>
            <w:r w:rsidRPr="00AF4C2C">
              <w:rPr>
                <w:rFonts w:cs="Arial"/>
                <w:bCs/>
                <w:color w:val="000000"/>
              </w:rPr>
              <w:t>Unbe</w:t>
            </w:r>
            <w:proofErr w:type="spellEnd"/>
            <w:r w:rsidRPr="00AF4C2C">
              <w:rPr>
                <w:rFonts w:cs="Arial"/>
                <w:bCs/>
                <w:color w:val="000000"/>
              </w:rPr>
              <w:t xml:space="preserve">. Grundstücke      375.000,00 € </w:t>
            </w:r>
            <w:r>
              <w:rPr>
                <w:rFonts w:cs="Arial"/>
                <w:bCs/>
                <w:color w:val="000000"/>
              </w:rPr>
              <w:t xml:space="preserve"> </w:t>
            </w:r>
            <w:r w:rsidRPr="00AF4C2C">
              <w:rPr>
                <w:rFonts w:cs="Arial"/>
                <w:bCs/>
                <w:color w:val="000000"/>
              </w:rPr>
              <w:t xml:space="preserve"> Eigenkapital         3.380.211,00 €</w:t>
            </w:r>
          </w:p>
          <w:p w:rsidR="00C37F00" w:rsidRPr="00AF4C2C" w:rsidRDefault="00C37F00" w:rsidP="00C37F00">
            <w:pPr>
              <w:rPr>
                <w:rFonts w:cs="Arial"/>
                <w:bCs/>
                <w:color w:val="000000"/>
              </w:rPr>
            </w:pPr>
            <w:r w:rsidRPr="00AF4C2C">
              <w:rPr>
                <w:rFonts w:cs="Arial"/>
                <w:bCs/>
                <w:color w:val="000000"/>
              </w:rPr>
              <w:t xml:space="preserve">Betriebsgebäude          525.835,00 €   </w:t>
            </w:r>
            <w:r w:rsidRPr="00AF4C2C">
              <w:rPr>
                <w:rFonts w:cs="Arial"/>
                <w:bCs/>
                <w:color w:val="000000"/>
                <w:u w:val="single"/>
              </w:rPr>
              <w:t>II. Fremdkapital</w:t>
            </w:r>
          </w:p>
          <w:p w:rsidR="00C37F00" w:rsidRDefault="00C37F00" w:rsidP="00C37F00">
            <w:pPr>
              <w:rPr>
                <w:rFonts w:cs="Arial"/>
                <w:bCs/>
                <w:color w:val="000000"/>
              </w:rPr>
            </w:pPr>
            <w:r w:rsidRPr="00AF4C2C">
              <w:rPr>
                <w:rFonts w:cs="Arial"/>
                <w:bCs/>
                <w:color w:val="000000"/>
              </w:rPr>
              <w:t xml:space="preserve">Verwaltungsgebäude   125.560,00 €  </w:t>
            </w:r>
            <w:r>
              <w:rPr>
                <w:rFonts w:cs="Arial"/>
                <w:bCs/>
                <w:color w:val="000000"/>
              </w:rPr>
              <w:t xml:space="preserve"> </w:t>
            </w:r>
            <w:proofErr w:type="spellStart"/>
            <w:r w:rsidRPr="00AF4C2C">
              <w:rPr>
                <w:rFonts w:cs="Arial"/>
                <w:bCs/>
                <w:color w:val="000000"/>
              </w:rPr>
              <w:t>lgfr</w:t>
            </w:r>
            <w:proofErr w:type="spellEnd"/>
            <w:r w:rsidRPr="00AF4C2C">
              <w:rPr>
                <w:rFonts w:cs="Arial"/>
                <w:bCs/>
                <w:color w:val="000000"/>
              </w:rPr>
              <w:t xml:space="preserve">. </w:t>
            </w:r>
            <w:proofErr w:type="spellStart"/>
            <w:r w:rsidRPr="00AF4C2C">
              <w:rPr>
                <w:rFonts w:cs="Arial"/>
                <w:bCs/>
                <w:color w:val="000000"/>
              </w:rPr>
              <w:t>Bankverb</w:t>
            </w:r>
            <w:proofErr w:type="spellEnd"/>
            <w:r w:rsidRPr="00AF4C2C">
              <w:rPr>
                <w:rFonts w:cs="Arial"/>
                <w:bCs/>
                <w:color w:val="000000"/>
              </w:rPr>
              <w:t>.        125.985,00 €</w:t>
            </w:r>
          </w:p>
          <w:p w:rsidR="00C37F00" w:rsidRPr="00AF4C2C" w:rsidRDefault="00C37F00" w:rsidP="00C37F00">
            <w:pPr>
              <w:rPr>
                <w:rFonts w:cs="Arial"/>
                <w:bCs/>
                <w:color w:val="000000"/>
              </w:rPr>
            </w:pPr>
            <w:r w:rsidRPr="00AF4C2C">
              <w:rPr>
                <w:rFonts w:cs="Arial"/>
                <w:bCs/>
                <w:color w:val="000000"/>
              </w:rPr>
              <w:t xml:space="preserve">TAM                   </w:t>
            </w:r>
            <w:r>
              <w:rPr>
                <w:rFonts w:cs="Arial"/>
                <w:bCs/>
                <w:color w:val="000000"/>
              </w:rPr>
              <w:t xml:space="preserve">  </w:t>
            </w:r>
            <w:r w:rsidRPr="00AF4C2C">
              <w:rPr>
                <w:rFonts w:cs="Arial"/>
                <w:bCs/>
                <w:color w:val="000000"/>
              </w:rPr>
              <w:t xml:space="preserve">     1.456.750,00 €   Verb. </w:t>
            </w:r>
            <w:proofErr w:type="spellStart"/>
            <w:r w:rsidRPr="00AF4C2C">
              <w:rPr>
                <w:rFonts w:cs="Arial"/>
                <w:bCs/>
                <w:color w:val="000000"/>
              </w:rPr>
              <w:t>aLL</w:t>
            </w:r>
            <w:proofErr w:type="spellEnd"/>
            <w:r w:rsidRPr="00AF4C2C">
              <w:rPr>
                <w:rFonts w:cs="Arial"/>
                <w:bCs/>
                <w:color w:val="000000"/>
              </w:rPr>
              <w:t xml:space="preserve">           </w:t>
            </w:r>
            <w:r>
              <w:rPr>
                <w:rFonts w:cs="Arial"/>
                <w:bCs/>
                <w:color w:val="000000"/>
              </w:rPr>
              <w:t xml:space="preserve"> </w:t>
            </w:r>
            <w:r w:rsidRPr="00AF4C2C">
              <w:rPr>
                <w:rFonts w:cs="Arial"/>
                <w:bCs/>
                <w:color w:val="000000"/>
              </w:rPr>
              <w:t xml:space="preserve">      23.765,00 €</w:t>
            </w:r>
          </w:p>
          <w:p w:rsidR="00C37F00" w:rsidRPr="00AF4C2C" w:rsidRDefault="00C37F00" w:rsidP="00C37F00">
            <w:pPr>
              <w:rPr>
                <w:rFonts w:cs="Arial"/>
                <w:bCs/>
                <w:color w:val="000000"/>
              </w:rPr>
            </w:pPr>
            <w:r w:rsidRPr="00AF4C2C">
              <w:rPr>
                <w:rFonts w:cs="Arial"/>
                <w:bCs/>
                <w:color w:val="000000"/>
              </w:rPr>
              <w:t xml:space="preserve">Werkzeuge            </w:t>
            </w:r>
            <w:r>
              <w:rPr>
                <w:rFonts w:cs="Arial"/>
                <w:bCs/>
                <w:color w:val="000000"/>
              </w:rPr>
              <w:t xml:space="preserve"> </w:t>
            </w:r>
            <w:r w:rsidRPr="00AF4C2C">
              <w:rPr>
                <w:rFonts w:cs="Arial"/>
                <w:bCs/>
                <w:color w:val="000000"/>
              </w:rPr>
              <w:t xml:space="preserve">      107.450,00 €  </w:t>
            </w:r>
            <w:proofErr w:type="spellStart"/>
            <w:r w:rsidRPr="00AF4C2C">
              <w:rPr>
                <w:rFonts w:cs="Arial"/>
                <w:bCs/>
                <w:color w:val="000000"/>
              </w:rPr>
              <w:t>kurzfr</w:t>
            </w:r>
            <w:proofErr w:type="spellEnd"/>
            <w:r w:rsidRPr="00AF4C2C">
              <w:rPr>
                <w:rFonts w:cs="Arial"/>
                <w:bCs/>
                <w:color w:val="000000"/>
              </w:rPr>
              <w:t xml:space="preserve">. </w:t>
            </w:r>
            <w:proofErr w:type="spellStart"/>
            <w:r w:rsidRPr="00AF4C2C">
              <w:rPr>
                <w:rFonts w:cs="Arial"/>
                <w:bCs/>
                <w:color w:val="000000"/>
              </w:rPr>
              <w:t>Bankverb</w:t>
            </w:r>
            <w:proofErr w:type="spellEnd"/>
            <w:r w:rsidRPr="00AF4C2C">
              <w:rPr>
                <w:rFonts w:cs="Arial"/>
                <w:bCs/>
                <w:color w:val="000000"/>
              </w:rPr>
              <w:t xml:space="preserve">.   </w:t>
            </w:r>
            <w:r>
              <w:rPr>
                <w:rFonts w:cs="Arial"/>
                <w:bCs/>
                <w:color w:val="000000"/>
              </w:rPr>
              <w:t xml:space="preserve"> </w:t>
            </w:r>
            <w:r w:rsidRPr="00AF4C2C">
              <w:rPr>
                <w:rFonts w:cs="Arial"/>
                <w:bCs/>
                <w:color w:val="000000"/>
              </w:rPr>
              <w:t xml:space="preserve">     5.645,00 €</w:t>
            </w:r>
          </w:p>
          <w:p w:rsidR="00C37F00" w:rsidRPr="00AF4C2C" w:rsidRDefault="00C37F00" w:rsidP="00C37F00">
            <w:pPr>
              <w:rPr>
                <w:rFonts w:cs="Arial"/>
                <w:bCs/>
                <w:color w:val="000000"/>
              </w:rPr>
            </w:pPr>
            <w:r w:rsidRPr="00AF4C2C">
              <w:rPr>
                <w:rFonts w:cs="Arial"/>
                <w:bCs/>
                <w:color w:val="000000"/>
              </w:rPr>
              <w:t xml:space="preserve">Fuhrpark                </w:t>
            </w:r>
            <w:r>
              <w:rPr>
                <w:rFonts w:cs="Arial"/>
                <w:bCs/>
                <w:color w:val="000000"/>
              </w:rPr>
              <w:t xml:space="preserve">  </w:t>
            </w:r>
            <w:r w:rsidRPr="00AF4C2C">
              <w:rPr>
                <w:rFonts w:cs="Arial"/>
                <w:bCs/>
                <w:color w:val="000000"/>
              </w:rPr>
              <w:t xml:space="preserve">     238.835,00 €</w:t>
            </w:r>
          </w:p>
          <w:p w:rsidR="00C37F00" w:rsidRPr="00AF4C2C" w:rsidRDefault="00C37F00" w:rsidP="00C37F00">
            <w:pPr>
              <w:rPr>
                <w:rFonts w:cs="Arial"/>
                <w:bCs/>
                <w:color w:val="000000"/>
              </w:rPr>
            </w:pPr>
            <w:r w:rsidRPr="00AF4C2C">
              <w:rPr>
                <w:rFonts w:cs="Arial"/>
                <w:bCs/>
                <w:color w:val="000000"/>
              </w:rPr>
              <w:t xml:space="preserve">BGA                   </w:t>
            </w:r>
            <w:r>
              <w:rPr>
                <w:rFonts w:cs="Arial"/>
                <w:bCs/>
                <w:color w:val="000000"/>
              </w:rPr>
              <w:t xml:space="preserve"> </w:t>
            </w:r>
            <w:r w:rsidRPr="00AF4C2C">
              <w:rPr>
                <w:rFonts w:cs="Arial"/>
                <w:bCs/>
                <w:color w:val="000000"/>
              </w:rPr>
              <w:t xml:space="preserve">        </w:t>
            </w:r>
            <w:r>
              <w:rPr>
                <w:rFonts w:cs="Arial"/>
                <w:bCs/>
                <w:color w:val="000000"/>
              </w:rPr>
              <w:t xml:space="preserve"> </w:t>
            </w:r>
            <w:r w:rsidRPr="00AF4C2C">
              <w:rPr>
                <w:rFonts w:cs="Arial"/>
                <w:bCs/>
                <w:color w:val="000000"/>
              </w:rPr>
              <w:t xml:space="preserve">   75.345,00 €</w:t>
            </w:r>
          </w:p>
          <w:p w:rsidR="00C37F00" w:rsidRPr="00AF4C2C" w:rsidRDefault="00C37F00" w:rsidP="00C37F00">
            <w:pPr>
              <w:rPr>
                <w:rFonts w:cs="Arial"/>
                <w:bCs/>
                <w:color w:val="000000"/>
                <w:u w:val="single"/>
              </w:rPr>
            </w:pPr>
            <w:r w:rsidRPr="00AF4C2C">
              <w:rPr>
                <w:rFonts w:cs="Arial"/>
                <w:bCs/>
                <w:color w:val="000000"/>
                <w:u w:val="single"/>
              </w:rPr>
              <w:t>II. Umlaufvermögen</w:t>
            </w:r>
          </w:p>
          <w:p w:rsidR="00C37F00" w:rsidRPr="00AF4C2C" w:rsidRDefault="00C37F00" w:rsidP="00C37F00">
            <w:pPr>
              <w:rPr>
                <w:rFonts w:cs="Arial"/>
                <w:bCs/>
                <w:color w:val="000000"/>
              </w:rPr>
            </w:pPr>
            <w:r w:rsidRPr="00AF4C2C">
              <w:rPr>
                <w:rFonts w:cs="Arial"/>
                <w:bCs/>
                <w:color w:val="000000"/>
              </w:rPr>
              <w:t xml:space="preserve">Rohstoffe                     435.765,00 € </w:t>
            </w:r>
          </w:p>
          <w:p w:rsidR="00C37F00" w:rsidRPr="00AF4C2C" w:rsidRDefault="00C37F00" w:rsidP="00C37F00">
            <w:pPr>
              <w:rPr>
                <w:rFonts w:cs="Arial"/>
                <w:bCs/>
                <w:color w:val="000000"/>
              </w:rPr>
            </w:pPr>
            <w:r w:rsidRPr="00AF4C2C">
              <w:rPr>
                <w:rFonts w:cs="Arial"/>
                <w:bCs/>
                <w:color w:val="000000"/>
              </w:rPr>
              <w:t xml:space="preserve">Hilfsstoffe               </w:t>
            </w:r>
            <w:r>
              <w:rPr>
                <w:rFonts w:cs="Arial"/>
                <w:bCs/>
                <w:color w:val="000000"/>
              </w:rPr>
              <w:t xml:space="preserve">  </w:t>
            </w:r>
            <w:r w:rsidRPr="00AF4C2C">
              <w:rPr>
                <w:rFonts w:cs="Arial"/>
                <w:bCs/>
                <w:color w:val="000000"/>
              </w:rPr>
              <w:t xml:space="preserve">      87.565,00 €</w:t>
            </w:r>
          </w:p>
          <w:p w:rsidR="00C37F00" w:rsidRPr="00AF4C2C" w:rsidRDefault="00C37F00" w:rsidP="00C37F00">
            <w:pPr>
              <w:rPr>
                <w:rFonts w:cs="Arial"/>
                <w:bCs/>
                <w:color w:val="000000"/>
              </w:rPr>
            </w:pPr>
            <w:r w:rsidRPr="00AF4C2C">
              <w:rPr>
                <w:rFonts w:cs="Arial"/>
                <w:bCs/>
                <w:color w:val="000000"/>
              </w:rPr>
              <w:t xml:space="preserve">Betriebsstoffe          </w:t>
            </w:r>
            <w:r>
              <w:rPr>
                <w:rFonts w:cs="Arial"/>
                <w:bCs/>
                <w:color w:val="000000"/>
              </w:rPr>
              <w:t xml:space="preserve"> </w:t>
            </w:r>
            <w:r w:rsidRPr="00AF4C2C">
              <w:rPr>
                <w:rFonts w:cs="Arial"/>
                <w:bCs/>
                <w:color w:val="000000"/>
              </w:rPr>
              <w:t xml:space="preserve">      18.645,00 €</w:t>
            </w:r>
          </w:p>
          <w:p w:rsidR="00C37F00" w:rsidRPr="00AF4C2C" w:rsidRDefault="00C37F00" w:rsidP="00C37F00">
            <w:pPr>
              <w:rPr>
                <w:rFonts w:cs="Arial"/>
                <w:bCs/>
                <w:color w:val="000000"/>
              </w:rPr>
            </w:pPr>
            <w:r w:rsidRPr="00AF4C2C">
              <w:rPr>
                <w:rFonts w:cs="Arial"/>
                <w:bCs/>
                <w:color w:val="000000"/>
              </w:rPr>
              <w:t>Forderungen                  52.856,00 €</w:t>
            </w:r>
          </w:p>
          <w:p w:rsidR="00C37F00" w:rsidRPr="00AF4C2C" w:rsidRDefault="00C37F00" w:rsidP="00C37F00">
            <w:pPr>
              <w:rPr>
                <w:rFonts w:cs="Arial"/>
                <w:bCs/>
                <w:color w:val="000000"/>
              </w:rPr>
            </w:pPr>
            <w:r w:rsidRPr="00AF4C2C">
              <w:rPr>
                <w:rFonts w:cs="Arial"/>
                <w:bCs/>
                <w:color w:val="000000"/>
              </w:rPr>
              <w:t>Kasse                               1.250,00 €</w:t>
            </w:r>
          </w:p>
          <w:p w:rsidR="00C37F00" w:rsidRPr="00AF4C2C" w:rsidRDefault="00C37F00" w:rsidP="00C37F00">
            <w:pPr>
              <w:rPr>
                <w:rFonts w:cs="Arial"/>
                <w:bCs/>
                <w:color w:val="000000"/>
                <w:u w:val="single"/>
              </w:rPr>
            </w:pPr>
            <w:r w:rsidRPr="00AF4C2C">
              <w:rPr>
                <w:rFonts w:cs="Arial"/>
                <w:bCs/>
                <w:color w:val="000000"/>
                <w:u w:val="single"/>
              </w:rPr>
              <w:t xml:space="preserve">Bank                         </w:t>
            </w:r>
            <w:r>
              <w:rPr>
                <w:rFonts w:cs="Arial"/>
                <w:bCs/>
                <w:color w:val="000000"/>
                <w:u w:val="single"/>
              </w:rPr>
              <w:t xml:space="preserve"> </w:t>
            </w:r>
            <w:r w:rsidRPr="00AF4C2C">
              <w:rPr>
                <w:rFonts w:cs="Arial"/>
                <w:bCs/>
                <w:color w:val="000000"/>
                <w:u w:val="single"/>
              </w:rPr>
              <w:t xml:space="preserve">     34.750,00 €</w:t>
            </w:r>
            <w:r w:rsidR="00325C87">
              <w:rPr>
                <w:rFonts w:cs="Arial"/>
                <w:bCs/>
                <w:color w:val="000000"/>
                <w:u w:val="single"/>
              </w:rPr>
              <w:tab/>
            </w:r>
            <w:r w:rsidR="00325C87">
              <w:rPr>
                <w:rFonts w:cs="Arial"/>
                <w:bCs/>
                <w:color w:val="000000"/>
                <w:u w:val="single"/>
              </w:rPr>
              <w:tab/>
            </w:r>
            <w:r w:rsidR="00325C87">
              <w:rPr>
                <w:rFonts w:cs="Arial"/>
                <w:bCs/>
                <w:color w:val="000000"/>
                <w:u w:val="single"/>
              </w:rPr>
              <w:tab/>
            </w:r>
            <w:r w:rsidR="00325C87">
              <w:rPr>
                <w:rFonts w:cs="Arial"/>
                <w:bCs/>
                <w:color w:val="000000"/>
                <w:u w:val="single"/>
              </w:rPr>
              <w:tab/>
              <w:t>____</w:t>
            </w:r>
          </w:p>
          <w:p w:rsidR="001A6121" w:rsidRPr="00E84AA4" w:rsidRDefault="00C37F00" w:rsidP="00C37F00">
            <w:r w:rsidRPr="00AF4C2C">
              <w:rPr>
                <w:rFonts w:cs="Arial"/>
                <w:bCs/>
                <w:color w:val="000000"/>
                <w:u w:val="double"/>
              </w:rPr>
              <w:t xml:space="preserve">                              </w:t>
            </w:r>
            <w:r>
              <w:rPr>
                <w:rFonts w:cs="Arial"/>
                <w:bCs/>
                <w:color w:val="000000"/>
                <w:u w:val="double"/>
              </w:rPr>
              <w:t xml:space="preserve">  </w:t>
            </w:r>
            <w:r w:rsidRPr="00AF4C2C">
              <w:rPr>
                <w:rFonts w:cs="Arial"/>
                <w:bCs/>
                <w:color w:val="000000"/>
                <w:u w:val="double"/>
              </w:rPr>
              <w:t xml:space="preserve">  3.535.606,00 €                               3.535.606,00 €</w:t>
            </w:r>
          </w:p>
        </w:tc>
        <w:tc>
          <w:tcPr>
            <w:tcW w:w="1155" w:type="dxa"/>
            <w:tcBorders>
              <w:top w:val="single" w:sz="6" w:space="0" w:color="auto"/>
            </w:tcBorders>
          </w:tcPr>
          <w:p w:rsidR="003E36DC" w:rsidRDefault="003E36DC" w:rsidP="006A5364">
            <w:pPr>
              <w:jc w:val="center"/>
              <w:rPr>
                <w:lang w:val="en-US"/>
              </w:rPr>
            </w:pPr>
            <w:r>
              <w:rPr>
                <w:lang w:val="en-US"/>
              </w:rPr>
              <w:t>II</w:t>
            </w:r>
          </w:p>
          <w:p w:rsidR="00A47F2D" w:rsidRDefault="003E36DC" w:rsidP="006A5364">
            <w:pPr>
              <w:jc w:val="center"/>
            </w:pPr>
            <w:r>
              <w:rPr>
                <w:lang w:val="en-US"/>
              </w:rPr>
              <w:t>45</w:t>
            </w:r>
            <w:r w:rsidR="00A47F2D" w:rsidRPr="00E427A1">
              <w:rPr>
                <w:lang w:val="en-US"/>
              </w:rPr>
              <w:t xml:space="preserve"> %</w:t>
            </w:r>
          </w:p>
        </w:tc>
      </w:tr>
      <w:tr w:rsidR="001A6121" w:rsidTr="00A32381">
        <w:trPr>
          <w:trHeight w:val="549"/>
        </w:trPr>
        <w:tc>
          <w:tcPr>
            <w:tcW w:w="1211" w:type="dxa"/>
          </w:tcPr>
          <w:p w:rsidR="001A6121" w:rsidRPr="00A32381" w:rsidRDefault="00C37F00" w:rsidP="00C37F00">
            <w:pPr>
              <w:tabs>
                <w:tab w:val="center" w:pos="497"/>
                <w:tab w:val="left" w:pos="990"/>
              </w:tabs>
              <w:jc w:val="left"/>
              <w:rPr>
                <w:rFonts w:cs="Arial"/>
                <w:bCs/>
                <w:color w:val="000000"/>
                <w:szCs w:val="22"/>
              </w:rPr>
            </w:pPr>
            <w:r>
              <w:rPr>
                <w:rFonts w:cs="Arial"/>
                <w:bCs/>
                <w:color w:val="000000"/>
                <w:szCs w:val="22"/>
              </w:rPr>
              <w:tab/>
            </w:r>
            <w:r w:rsidR="00D43D90">
              <w:rPr>
                <w:rFonts w:cs="Arial"/>
                <w:bCs/>
                <w:color w:val="000000"/>
                <w:szCs w:val="22"/>
              </w:rPr>
              <w:t>2</w:t>
            </w:r>
            <w:r>
              <w:rPr>
                <w:rFonts w:cs="Arial"/>
                <w:bCs/>
                <w:color w:val="000000"/>
                <w:szCs w:val="22"/>
              </w:rPr>
              <w:tab/>
            </w:r>
          </w:p>
        </w:tc>
        <w:tc>
          <w:tcPr>
            <w:tcW w:w="7488" w:type="dxa"/>
          </w:tcPr>
          <w:p w:rsidR="00D43D90" w:rsidRDefault="00D43D90" w:rsidP="00026C6E">
            <w:pPr>
              <w:jc w:val="left"/>
            </w:pPr>
            <w:r>
              <w:t>Die Schülerinnen und Schüler können</w:t>
            </w:r>
            <w:r w:rsidR="00C37F00">
              <w:t xml:space="preserve"> erklären</w:t>
            </w:r>
            <w:r w:rsidR="003E36DC">
              <w:t>, das</w:t>
            </w:r>
            <w:r w:rsidR="00325C87">
              <w:t>s:</w:t>
            </w:r>
          </w:p>
          <w:p w:rsidR="00C37F00" w:rsidRDefault="00C37F00" w:rsidP="00C37F00">
            <w:pPr>
              <w:pStyle w:val="Listenabsatz"/>
              <w:numPr>
                <w:ilvl w:val="0"/>
                <w:numId w:val="10"/>
              </w:numPr>
              <w:jc w:val="left"/>
            </w:pPr>
            <w:r>
              <w:t>in der Bilanz die Vermögensposten und Schulden mit ihren Gesamt</w:t>
            </w:r>
            <w:r w:rsidR="009613F7">
              <w:t>-</w:t>
            </w:r>
            <w:r>
              <w:t>werten in einer kurzen Fassung in Kontenform gegenüberstellt werden,</w:t>
            </w:r>
          </w:p>
          <w:p w:rsidR="00C37F00" w:rsidRDefault="00C37F00" w:rsidP="00C37F00">
            <w:pPr>
              <w:pStyle w:val="Listenabsatz"/>
              <w:numPr>
                <w:ilvl w:val="0"/>
                <w:numId w:val="10"/>
              </w:numPr>
              <w:jc w:val="left"/>
            </w:pPr>
            <w:r>
              <w:t>Inventar ein ausführliches Bes</w:t>
            </w:r>
            <w:r w:rsidR="00B93199">
              <w:t xml:space="preserve">tandsverzeichnis der einzelnen </w:t>
            </w:r>
            <w:r>
              <w:t>Vermögensposten und Schulden eines Unternehmens ist</w:t>
            </w:r>
            <w:r w:rsidR="008B48C0">
              <w:t>,</w:t>
            </w:r>
          </w:p>
          <w:p w:rsidR="00C37F00" w:rsidRDefault="00C37F00" w:rsidP="00C37F00">
            <w:pPr>
              <w:pStyle w:val="Listenabsatz"/>
              <w:numPr>
                <w:ilvl w:val="0"/>
                <w:numId w:val="10"/>
              </w:numPr>
              <w:jc w:val="left"/>
            </w:pPr>
            <w:r>
              <w:t>diese nach Art, Menge und Wert in Staffelform ausgewiesen werden</w:t>
            </w:r>
            <w:r w:rsidR="008B48C0">
              <w:t>,</w:t>
            </w:r>
          </w:p>
          <w:p w:rsidR="00C37F00" w:rsidRDefault="00C37F00" w:rsidP="00C37F00">
            <w:pPr>
              <w:pStyle w:val="Listenabsatz"/>
              <w:numPr>
                <w:ilvl w:val="0"/>
                <w:numId w:val="10"/>
              </w:numPr>
              <w:jc w:val="left"/>
            </w:pPr>
            <w:r>
              <w:t>Inventar die ordnungsgemäße Grundlage für die Bilanz ist</w:t>
            </w:r>
            <w:r w:rsidR="008B48C0">
              <w:t>,</w:t>
            </w:r>
          </w:p>
          <w:p w:rsidR="00C37F00" w:rsidRDefault="00C37F00" w:rsidP="00C37F00">
            <w:pPr>
              <w:pStyle w:val="Listenabsatz"/>
              <w:numPr>
                <w:ilvl w:val="0"/>
                <w:numId w:val="10"/>
              </w:numPr>
              <w:jc w:val="left"/>
            </w:pPr>
            <w:r>
              <w:t>die Bilanz klar und übersichtlich gegliedert sein muss</w:t>
            </w:r>
            <w:r w:rsidR="008B48C0">
              <w:t>,</w:t>
            </w:r>
          </w:p>
          <w:p w:rsidR="00C37F00" w:rsidRDefault="00C37F00" w:rsidP="00C37F00">
            <w:pPr>
              <w:pStyle w:val="Listenabsatz"/>
              <w:numPr>
                <w:ilvl w:val="0"/>
                <w:numId w:val="10"/>
              </w:numPr>
              <w:jc w:val="left"/>
            </w:pPr>
            <w:r>
              <w:t>Anlage- und Umlaufvermögen, Eigenkapital und Fremdkapital getrennt auszuweisen sind</w:t>
            </w:r>
            <w:r w:rsidR="009613F7">
              <w:t>,</w:t>
            </w:r>
          </w:p>
          <w:p w:rsidR="00C37F00" w:rsidRDefault="00B93199" w:rsidP="00C37F00">
            <w:pPr>
              <w:pStyle w:val="Listenabsatz"/>
              <w:numPr>
                <w:ilvl w:val="0"/>
                <w:numId w:val="10"/>
              </w:numPr>
              <w:jc w:val="left"/>
            </w:pPr>
            <w:r>
              <w:lastRenderedPageBreak/>
              <w:t>d</w:t>
            </w:r>
            <w:r w:rsidR="00C37F00">
              <w:t xml:space="preserve">ie Gliederung der Bilanz </w:t>
            </w:r>
            <w:r>
              <w:t>in folgender Art e</w:t>
            </w:r>
            <w:r w:rsidR="00C37F00">
              <w:t>rfolgt:</w:t>
            </w:r>
          </w:p>
          <w:p w:rsidR="00B93199" w:rsidRDefault="00C37F00" w:rsidP="008B48C0">
            <w:pPr>
              <w:ind w:left="360"/>
              <w:jc w:val="left"/>
            </w:pPr>
            <w:r>
              <w:t>1. in die Teilung in Aktiva (Mittelverwendung/Investition</w:t>
            </w:r>
            <w:r w:rsidR="008B48C0">
              <w:t>)</w:t>
            </w:r>
            <w:r>
              <w:t xml:space="preserve"> und Passiva </w:t>
            </w:r>
            <w:r w:rsidR="00B93199">
              <w:t xml:space="preserve">  </w:t>
            </w:r>
          </w:p>
          <w:p w:rsidR="003E36DC" w:rsidRDefault="00B93199" w:rsidP="008B48C0">
            <w:pPr>
              <w:ind w:left="360"/>
              <w:jc w:val="left"/>
            </w:pPr>
            <w:r>
              <w:t xml:space="preserve">    </w:t>
            </w:r>
            <w:r w:rsidR="00C37F00">
              <w:t>(Mittelherkunft/Finanzierung)</w:t>
            </w:r>
            <w:r w:rsidR="008B48C0">
              <w:t>.</w:t>
            </w:r>
          </w:p>
          <w:p w:rsidR="003E36DC" w:rsidRDefault="00C37F00" w:rsidP="008B48C0">
            <w:pPr>
              <w:ind w:left="360"/>
              <w:jc w:val="left"/>
            </w:pPr>
            <w:r>
              <w:t>2. die Aktiva in AV und UV,</w:t>
            </w:r>
            <w:r w:rsidR="003E36DC">
              <w:t xml:space="preserve"> </w:t>
            </w:r>
            <w:r w:rsidR="008B48C0">
              <w:t>die Passiva in EK und FK.</w:t>
            </w:r>
          </w:p>
          <w:p w:rsidR="00C37F00" w:rsidRDefault="00C37F00" w:rsidP="008B48C0">
            <w:pPr>
              <w:ind w:left="360"/>
              <w:jc w:val="left"/>
            </w:pPr>
            <w:r>
              <w:t xml:space="preserve">3. AV und UV nach der </w:t>
            </w:r>
            <w:proofErr w:type="spellStart"/>
            <w:r>
              <w:t>Geldnähe</w:t>
            </w:r>
            <w:proofErr w:type="spellEnd"/>
            <w:r>
              <w:t>,</w:t>
            </w:r>
            <w:r w:rsidR="008B48C0">
              <w:t xml:space="preserve"> EK und FK nach der Fristigkeit.</w:t>
            </w:r>
          </w:p>
          <w:p w:rsidR="00C37F00" w:rsidRDefault="00B93199" w:rsidP="00C37F00">
            <w:pPr>
              <w:pStyle w:val="Listenabsatz"/>
              <w:numPr>
                <w:ilvl w:val="0"/>
                <w:numId w:val="10"/>
              </w:numPr>
              <w:jc w:val="left"/>
            </w:pPr>
            <w:r>
              <w:t>d</w:t>
            </w:r>
            <w:r w:rsidR="00C37F00">
              <w:t xml:space="preserve">ie Gliederung des Inventars </w:t>
            </w:r>
            <w:r>
              <w:t xml:space="preserve">durch die Staffelform </w:t>
            </w:r>
            <w:r w:rsidR="003E36DC">
              <w:t>bestimmt wird</w:t>
            </w:r>
            <w:r w:rsidR="00C37F00">
              <w:t>:</w:t>
            </w:r>
          </w:p>
          <w:p w:rsidR="00B93199" w:rsidRDefault="00C37F00" w:rsidP="008B48C0">
            <w:pPr>
              <w:ind w:left="360"/>
              <w:jc w:val="left"/>
            </w:pPr>
            <w:r>
              <w:t>A</w:t>
            </w:r>
            <w:r w:rsidR="008B48C0">
              <w:t>:</w:t>
            </w:r>
            <w:r>
              <w:t xml:space="preserve"> Vermögen: die Reihenfolge ist auch hier erst Anlage- dann das </w:t>
            </w:r>
          </w:p>
          <w:p w:rsidR="00B93199" w:rsidRDefault="00B93199" w:rsidP="008B48C0">
            <w:pPr>
              <w:ind w:left="360"/>
              <w:jc w:val="left"/>
            </w:pPr>
            <w:r>
              <w:t xml:space="preserve">    </w:t>
            </w:r>
            <w:r w:rsidR="00C37F00">
              <w:t xml:space="preserve">Umlaufvermögen, die Positionen werden absteigend nach </w:t>
            </w:r>
            <w:r>
              <w:t xml:space="preserve">  </w:t>
            </w:r>
          </w:p>
          <w:p w:rsidR="003E36DC" w:rsidRDefault="00B93199" w:rsidP="008B48C0">
            <w:pPr>
              <w:ind w:left="360"/>
              <w:jc w:val="left"/>
            </w:pPr>
            <w:r>
              <w:t xml:space="preserve">    </w:t>
            </w:r>
            <w:r w:rsidR="00C37F00">
              <w:t>steigender Flüssigkeit (L</w:t>
            </w:r>
            <w:r w:rsidR="008B48C0">
              <w:t>iquidität) geordnet, danach</w:t>
            </w:r>
          </w:p>
          <w:p w:rsidR="00B93199" w:rsidRDefault="00C37F00" w:rsidP="008B48C0">
            <w:pPr>
              <w:ind w:left="360"/>
              <w:jc w:val="left"/>
            </w:pPr>
            <w:r>
              <w:t>B</w:t>
            </w:r>
            <w:r w:rsidR="008B48C0">
              <w:t>: die</w:t>
            </w:r>
            <w:r>
              <w:t xml:space="preserve"> Schulden, diese werden nach der Fälligkeit gegliedert, zuerst </w:t>
            </w:r>
          </w:p>
          <w:p w:rsidR="00B93199" w:rsidRDefault="00B93199" w:rsidP="008B48C0">
            <w:pPr>
              <w:ind w:left="360"/>
              <w:jc w:val="left"/>
            </w:pPr>
            <w:r>
              <w:t xml:space="preserve">     </w:t>
            </w:r>
            <w:r w:rsidR="00C37F00">
              <w:t xml:space="preserve">die langfristigen danach die kurzfristigen Verbindlichkeiten, siehe </w:t>
            </w:r>
          </w:p>
          <w:p w:rsidR="003E36DC" w:rsidRDefault="00B93199" w:rsidP="008B48C0">
            <w:pPr>
              <w:ind w:left="360"/>
              <w:jc w:val="left"/>
            </w:pPr>
            <w:r>
              <w:t xml:space="preserve">     </w:t>
            </w:r>
            <w:r w:rsidR="00C37F00">
              <w:t xml:space="preserve">auch Bilanz, danach </w:t>
            </w:r>
          </w:p>
          <w:p w:rsidR="00B93199" w:rsidRDefault="00C37F00" w:rsidP="008B48C0">
            <w:pPr>
              <w:ind w:left="360"/>
              <w:jc w:val="left"/>
            </w:pPr>
            <w:r>
              <w:t>C</w:t>
            </w:r>
            <w:r w:rsidR="008B48C0">
              <w:t>:</w:t>
            </w:r>
            <w:r>
              <w:t xml:space="preserve"> Eigenkapital oder Reinvermögen, dieses wird hier durch Subtraktion </w:t>
            </w:r>
          </w:p>
          <w:p w:rsidR="00B93199" w:rsidRDefault="00B93199" w:rsidP="008B48C0">
            <w:pPr>
              <w:ind w:left="360"/>
              <w:jc w:val="left"/>
            </w:pPr>
            <w:r>
              <w:t xml:space="preserve">     </w:t>
            </w:r>
            <w:r w:rsidR="00C37F00">
              <w:t xml:space="preserve">der Schulden vom Vermögen ermittelt, in der Bilanz ist dieses </w:t>
            </w:r>
          </w:p>
          <w:p w:rsidR="003E36DC" w:rsidRPr="00E84AA4" w:rsidRDefault="00B93199" w:rsidP="008B48C0">
            <w:pPr>
              <w:ind w:left="360"/>
              <w:jc w:val="left"/>
            </w:pPr>
            <w:r>
              <w:t xml:space="preserve">     </w:t>
            </w:r>
            <w:r w:rsidR="00C37F00">
              <w:t>gegeben</w:t>
            </w:r>
            <w:r w:rsidR="008B48C0">
              <w:t>.</w:t>
            </w:r>
          </w:p>
        </w:tc>
        <w:tc>
          <w:tcPr>
            <w:tcW w:w="1155" w:type="dxa"/>
          </w:tcPr>
          <w:p w:rsidR="003E36DC" w:rsidRDefault="003E36DC" w:rsidP="006A5364">
            <w:pPr>
              <w:jc w:val="center"/>
            </w:pPr>
            <w:r>
              <w:lastRenderedPageBreak/>
              <w:t>I</w:t>
            </w:r>
          </w:p>
          <w:p w:rsidR="00A47F2D" w:rsidRDefault="003E36DC" w:rsidP="006A5364">
            <w:pPr>
              <w:jc w:val="center"/>
            </w:pPr>
            <w:r>
              <w:t>25</w:t>
            </w:r>
            <w:r w:rsidR="00A47F2D">
              <w:t xml:space="preserve"> %</w:t>
            </w:r>
          </w:p>
        </w:tc>
      </w:tr>
      <w:tr w:rsidR="00C37F00" w:rsidTr="00A32381">
        <w:trPr>
          <w:trHeight w:val="549"/>
        </w:trPr>
        <w:tc>
          <w:tcPr>
            <w:tcW w:w="1211" w:type="dxa"/>
          </w:tcPr>
          <w:p w:rsidR="00C37F00" w:rsidRDefault="003E36DC" w:rsidP="00C37F00">
            <w:pPr>
              <w:tabs>
                <w:tab w:val="center" w:pos="497"/>
                <w:tab w:val="left" w:pos="990"/>
              </w:tabs>
              <w:jc w:val="left"/>
              <w:rPr>
                <w:rFonts w:cs="Arial"/>
                <w:bCs/>
                <w:color w:val="000000"/>
                <w:szCs w:val="22"/>
              </w:rPr>
            </w:pPr>
            <w:r>
              <w:rPr>
                <w:rFonts w:cs="Arial"/>
                <w:bCs/>
                <w:color w:val="000000"/>
                <w:szCs w:val="22"/>
              </w:rPr>
              <w:lastRenderedPageBreak/>
              <w:t>3</w:t>
            </w:r>
          </w:p>
        </w:tc>
        <w:tc>
          <w:tcPr>
            <w:tcW w:w="7488" w:type="dxa"/>
          </w:tcPr>
          <w:p w:rsidR="003E36DC" w:rsidRPr="003E36DC" w:rsidRDefault="003E36DC" w:rsidP="003E36DC">
            <w:pPr>
              <w:jc w:val="left"/>
              <w:rPr>
                <w:bCs/>
              </w:rPr>
            </w:pPr>
            <w:r w:rsidRPr="003E36DC">
              <w:rPr>
                <w:bCs/>
              </w:rPr>
              <w:t>D</w:t>
            </w:r>
            <w:r w:rsidR="008B48C0">
              <w:rPr>
                <w:bCs/>
              </w:rPr>
              <w:t>ie Schülerinnen und Schüler ermitteln d</w:t>
            </w:r>
            <w:r w:rsidRPr="003E36DC">
              <w:rPr>
                <w:bCs/>
              </w:rPr>
              <w:t>as Eigenka</w:t>
            </w:r>
            <w:r w:rsidR="008B48C0">
              <w:rPr>
                <w:bCs/>
              </w:rPr>
              <w:t xml:space="preserve">pital </w:t>
            </w:r>
            <w:r>
              <w:rPr>
                <w:bCs/>
              </w:rPr>
              <w:t>durch Subtraktion A -</w:t>
            </w:r>
            <w:r w:rsidRPr="003E36DC">
              <w:rPr>
                <w:bCs/>
              </w:rPr>
              <w:t xml:space="preserve"> B = C im Inventar bzw. als Differenz aus der Summe der Vermögenswert</w:t>
            </w:r>
            <w:r w:rsidR="00B93199">
              <w:rPr>
                <w:bCs/>
              </w:rPr>
              <w:t>e</w:t>
            </w:r>
            <w:r w:rsidRPr="003E36DC">
              <w:rPr>
                <w:bCs/>
              </w:rPr>
              <w:t xml:space="preserve"> und der Summe des Fremdkapitals; </w:t>
            </w:r>
          </w:p>
          <w:p w:rsidR="00C37F00" w:rsidRDefault="003E36DC" w:rsidP="003E36DC">
            <w:pPr>
              <w:jc w:val="left"/>
            </w:pPr>
            <w:r w:rsidRPr="003E36DC">
              <w:rPr>
                <w:bCs/>
              </w:rPr>
              <w:t>Eigenkapital           3.380.21</w:t>
            </w:r>
            <w:r w:rsidR="00B93199">
              <w:rPr>
                <w:bCs/>
              </w:rPr>
              <w:t>1</w:t>
            </w:r>
            <w:r w:rsidRPr="003E36DC">
              <w:rPr>
                <w:bCs/>
              </w:rPr>
              <w:t>,00 €</w:t>
            </w:r>
          </w:p>
        </w:tc>
        <w:tc>
          <w:tcPr>
            <w:tcW w:w="1155" w:type="dxa"/>
          </w:tcPr>
          <w:p w:rsidR="00C37F00" w:rsidRDefault="003E36DC" w:rsidP="006A5364">
            <w:pPr>
              <w:jc w:val="center"/>
            </w:pPr>
            <w:r>
              <w:t>I</w:t>
            </w:r>
          </w:p>
          <w:p w:rsidR="003E36DC" w:rsidRDefault="003E36DC" w:rsidP="006A5364">
            <w:pPr>
              <w:jc w:val="center"/>
            </w:pPr>
            <w:r>
              <w:t>5 %</w:t>
            </w:r>
          </w:p>
        </w:tc>
      </w:tr>
      <w:tr w:rsidR="00C37F00" w:rsidTr="00A32381">
        <w:trPr>
          <w:trHeight w:val="549"/>
        </w:trPr>
        <w:tc>
          <w:tcPr>
            <w:tcW w:w="1211" w:type="dxa"/>
          </w:tcPr>
          <w:p w:rsidR="00C37F00" w:rsidRDefault="003E36DC" w:rsidP="00C37F00">
            <w:pPr>
              <w:tabs>
                <w:tab w:val="center" w:pos="497"/>
                <w:tab w:val="left" w:pos="990"/>
              </w:tabs>
              <w:jc w:val="left"/>
              <w:rPr>
                <w:rFonts w:cs="Arial"/>
                <w:bCs/>
                <w:color w:val="000000"/>
                <w:szCs w:val="22"/>
              </w:rPr>
            </w:pPr>
            <w:r>
              <w:rPr>
                <w:rFonts w:cs="Arial"/>
                <w:bCs/>
                <w:color w:val="000000"/>
                <w:szCs w:val="22"/>
              </w:rPr>
              <w:t>4</w:t>
            </w:r>
          </w:p>
        </w:tc>
        <w:tc>
          <w:tcPr>
            <w:tcW w:w="7488" w:type="dxa"/>
          </w:tcPr>
          <w:p w:rsidR="003E36DC" w:rsidRDefault="003E36DC" w:rsidP="003E36DC">
            <w:pPr>
              <w:jc w:val="left"/>
            </w:pPr>
            <w:r>
              <w:t>Die Schülerinnen und Schüler können sinngemäß folgende Zusammenhänge herstellen:</w:t>
            </w:r>
          </w:p>
          <w:p w:rsidR="003E36DC" w:rsidRDefault="003E36DC" w:rsidP="003E36DC">
            <w:pPr>
              <w:jc w:val="left"/>
            </w:pPr>
            <w:r>
              <w:t>Im Inventar ergibt sich das Eigenkapital (wie in 3 ermittelt) durch Subtraktion der Schulden vom Vermögen.</w:t>
            </w:r>
          </w:p>
          <w:p w:rsidR="003E36DC" w:rsidRDefault="003E36DC" w:rsidP="003E36DC">
            <w:pPr>
              <w:jc w:val="left"/>
            </w:pPr>
            <w:r>
              <w:t>Das Eigenkapital stellt die finanziellen Mittel dar, die der/die Eigentümer in das Unternehmen investiert hat. Das Fremdkapital sind somit alle finanziellen Mittel, die andere Kapitalgeber dem Unternehmen zur Verfügung stellen. Das Unternehmen schuldet diesen Kapitalgebern diese finanziellen Mittel entsprechend der Fristigkeit.</w:t>
            </w:r>
          </w:p>
          <w:p w:rsidR="003E36DC" w:rsidRDefault="003E36DC" w:rsidP="003E36DC">
            <w:pPr>
              <w:jc w:val="left"/>
            </w:pPr>
            <w:r>
              <w:t xml:space="preserve">Das Verhältnis von Eigenkapital zu Fremdkapital sollte </w:t>
            </w:r>
            <w:proofErr w:type="gramStart"/>
            <w:r>
              <w:t>1 :</w:t>
            </w:r>
            <w:proofErr w:type="gramEnd"/>
            <w:r>
              <w:t> 1 sein. In der Realität trifft dieses Verhältnis in der Regel jedoch nicht zu.</w:t>
            </w:r>
          </w:p>
          <w:p w:rsidR="00C37F00" w:rsidRDefault="003E36DC" w:rsidP="008B48C0">
            <w:pPr>
              <w:jc w:val="left"/>
            </w:pPr>
            <w:r>
              <w:t xml:space="preserve">Im gegebenen Beispiel ist das Verhältnis relativ 95,6 </w:t>
            </w:r>
            <w:proofErr w:type="gramStart"/>
            <w:r>
              <w:t>%</w:t>
            </w:r>
            <w:r w:rsidR="008B48C0">
              <w:t> </w:t>
            </w:r>
            <w:r>
              <w:t>:</w:t>
            </w:r>
            <w:proofErr w:type="gramEnd"/>
            <w:r>
              <w:t> 4,4 %. Die Unternehmung ist somit fast ausschließlich mit Eigenkapital finanziert.</w:t>
            </w:r>
          </w:p>
          <w:p w:rsidR="00DD7CDA" w:rsidRDefault="00DD7CDA" w:rsidP="008B48C0">
            <w:pPr>
              <w:jc w:val="left"/>
            </w:pPr>
          </w:p>
        </w:tc>
        <w:tc>
          <w:tcPr>
            <w:tcW w:w="1155" w:type="dxa"/>
          </w:tcPr>
          <w:p w:rsidR="00DD7CDA" w:rsidRDefault="00DD7CDA" w:rsidP="006A5364">
            <w:pPr>
              <w:jc w:val="center"/>
            </w:pPr>
          </w:p>
          <w:p w:rsidR="00C37F00" w:rsidRDefault="003E36DC" w:rsidP="006A5364">
            <w:pPr>
              <w:jc w:val="center"/>
            </w:pPr>
            <w:r>
              <w:t>II</w:t>
            </w:r>
          </w:p>
          <w:p w:rsidR="003E36DC" w:rsidRDefault="003E36DC" w:rsidP="006A5364">
            <w:pPr>
              <w:jc w:val="center"/>
            </w:pPr>
            <w:r>
              <w:t>5 %</w:t>
            </w:r>
          </w:p>
          <w:p w:rsidR="003E36DC" w:rsidRDefault="003E36DC" w:rsidP="006A5364">
            <w:pPr>
              <w:jc w:val="center"/>
            </w:pPr>
          </w:p>
          <w:p w:rsidR="003E36DC" w:rsidRDefault="003E36DC" w:rsidP="006A5364">
            <w:pPr>
              <w:jc w:val="center"/>
            </w:pPr>
            <w:r>
              <w:t>III</w:t>
            </w:r>
          </w:p>
          <w:p w:rsidR="003E36DC" w:rsidRDefault="003E36DC" w:rsidP="006A5364">
            <w:pPr>
              <w:jc w:val="center"/>
            </w:pPr>
            <w:r>
              <w:t>5 %</w:t>
            </w:r>
          </w:p>
        </w:tc>
      </w:tr>
      <w:tr w:rsidR="00C37F00" w:rsidTr="00A32381">
        <w:trPr>
          <w:trHeight w:val="549"/>
        </w:trPr>
        <w:tc>
          <w:tcPr>
            <w:tcW w:w="1211" w:type="dxa"/>
          </w:tcPr>
          <w:p w:rsidR="00C37F00" w:rsidRDefault="003E36DC" w:rsidP="00C37F00">
            <w:pPr>
              <w:tabs>
                <w:tab w:val="center" w:pos="497"/>
                <w:tab w:val="left" w:pos="990"/>
              </w:tabs>
              <w:jc w:val="left"/>
              <w:rPr>
                <w:rFonts w:cs="Arial"/>
                <w:bCs/>
                <w:color w:val="000000"/>
                <w:szCs w:val="22"/>
              </w:rPr>
            </w:pPr>
            <w:r>
              <w:rPr>
                <w:rFonts w:cs="Arial"/>
                <w:bCs/>
                <w:color w:val="000000"/>
                <w:szCs w:val="22"/>
              </w:rPr>
              <w:lastRenderedPageBreak/>
              <w:t>5</w:t>
            </w:r>
          </w:p>
        </w:tc>
        <w:tc>
          <w:tcPr>
            <w:tcW w:w="7488" w:type="dxa"/>
          </w:tcPr>
          <w:p w:rsidR="003E36DC" w:rsidRDefault="003E36DC" w:rsidP="003E36DC">
            <w:pPr>
              <w:jc w:val="left"/>
            </w:pPr>
            <w:r>
              <w:t xml:space="preserve">Die Schülerinnen und Schüler können sinngemäß folgende </w:t>
            </w:r>
            <w:r w:rsidR="00C20D6A">
              <w:t>Beurteilung abgeben</w:t>
            </w:r>
            <w:r>
              <w:t>:</w:t>
            </w:r>
          </w:p>
          <w:p w:rsidR="00C37F00" w:rsidRDefault="003E36DC" w:rsidP="00B93199">
            <w:pPr>
              <w:jc w:val="left"/>
            </w:pPr>
            <w:r w:rsidRPr="003E36DC">
              <w:t>Das Anlage- und Umlaufvermögen unterscheidet sich durch die zeitliche Dauer, die es im Unternehmen verbleibt. Das Anlagevermögen dient d</w:t>
            </w:r>
            <w:r w:rsidR="00C20D6A">
              <w:t>er betrieblichen Produktion, z. </w:t>
            </w:r>
            <w:r w:rsidRPr="003E36DC">
              <w:t>B. technische Anlagen</w:t>
            </w:r>
            <w:r w:rsidR="00B93199">
              <w:t>:</w:t>
            </w:r>
            <w:r w:rsidRPr="003E36DC">
              <w:t xml:space="preserve"> langfristig, während das Umlaufvermögen, wie die Vorräte, sich stets durch den betrieblichen Leistungsprozess verändert bzw. in diesem umläuft.</w:t>
            </w:r>
          </w:p>
        </w:tc>
        <w:tc>
          <w:tcPr>
            <w:tcW w:w="1155" w:type="dxa"/>
          </w:tcPr>
          <w:p w:rsidR="00DD7CDA" w:rsidRDefault="00DD7CDA" w:rsidP="006A5364">
            <w:pPr>
              <w:jc w:val="center"/>
            </w:pPr>
          </w:p>
          <w:p w:rsidR="00DD7CDA" w:rsidRDefault="00DD7CDA" w:rsidP="006A5364">
            <w:pPr>
              <w:jc w:val="center"/>
            </w:pPr>
          </w:p>
          <w:p w:rsidR="00C37F00" w:rsidRDefault="00C20D6A" w:rsidP="006A5364">
            <w:pPr>
              <w:jc w:val="center"/>
            </w:pPr>
            <w:r>
              <w:t>III</w:t>
            </w:r>
          </w:p>
          <w:p w:rsidR="00C20D6A" w:rsidRDefault="00C20D6A" w:rsidP="006A5364">
            <w:pPr>
              <w:jc w:val="center"/>
            </w:pPr>
            <w:r>
              <w:t>5 %</w:t>
            </w:r>
          </w:p>
        </w:tc>
      </w:tr>
      <w:tr w:rsidR="00C37F00" w:rsidTr="00A32381">
        <w:trPr>
          <w:trHeight w:val="549"/>
        </w:trPr>
        <w:tc>
          <w:tcPr>
            <w:tcW w:w="1211" w:type="dxa"/>
          </w:tcPr>
          <w:p w:rsidR="00C37F00" w:rsidRDefault="00C20D6A" w:rsidP="00C37F00">
            <w:pPr>
              <w:tabs>
                <w:tab w:val="center" w:pos="497"/>
                <w:tab w:val="left" w:pos="990"/>
              </w:tabs>
              <w:jc w:val="left"/>
              <w:rPr>
                <w:rFonts w:cs="Arial"/>
                <w:bCs/>
                <w:color w:val="000000"/>
                <w:szCs w:val="22"/>
              </w:rPr>
            </w:pPr>
            <w:r>
              <w:rPr>
                <w:rFonts w:cs="Arial"/>
                <w:bCs/>
                <w:color w:val="000000"/>
                <w:szCs w:val="22"/>
              </w:rPr>
              <w:t>6</w:t>
            </w:r>
          </w:p>
        </w:tc>
        <w:tc>
          <w:tcPr>
            <w:tcW w:w="7488" w:type="dxa"/>
          </w:tcPr>
          <w:p w:rsidR="00C20D6A" w:rsidRDefault="00C20D6A" w:rsidP="00026C6E">
            <w:pPr>
              <w:jc w:val="left"/>
            </w:pPr>
            <w:r>
              <w:t>Die Schülerinnen und Schüler beschreiben, das</w:t>
            </w:r>
            <w:r w:rsidR="00325C87">
              <w:t>s:</w:t>
            </w:r>
          </w:p>
          <w:p w:rsidR="00C20D6A" w:rsidRDefault="00C20D6A" w:rsidP="00C20D6A">
            <w:pPr>
              <w:pStyle w:val="Listenabsatz"/>
              <w:numPr>
                <w:ilvl w:val="0"/>
                <w:numId w:val="18"/>
              </w:numPr>
              <w:jc w:val="left"/>
            </w:pPr>
            <w:r w:rsidRPr="00C20D6A">
              <w:t xml:space="preserve">das Kapital die Herkunft der finanziellen Mittel angibt und das Vermögen die Verwendung der finanziellen Mittel darstellt, </w:t>
            </w:r>
          </w:p>
          <w:p w:rsidR="00C37F00" w:rsidRDefault="00C20D6A" w:rsidP="00B93199">
            <w:pPr>
              <w:pStyle w:val="Listenabsatz"/>
              <w:numPr>
                <w:ilvl w:val="0"/>
                <w:numId w:val="18"/>
              </w:numPr>
              <w:jc w:val="left"/>
            </w:pPr>
            <w:r w:rsidRPr="00C20D6A">
              <w:t>daraus die Beziehung abgeleitet werden</w:t>
            </w:r>
            <w:r>
              <w:t xml:space="preserve"> kann</w:t>
            </w:r>
            <w:r w:rsidRPr="00C20D6A">
              <w:t xml:space="preserve">, die widerspiegelt, wie beispielsweise das Anlage- und Umlaufvermögen finanziert wurde, </w:t>
            </w:r>
            <w:r w:rsidR="00B93199">
              <w:t>d. h.</w:t>
            </w:r>
            <w:r w:rsidRPr="00C20D6A">
              <w:t xml:space="preserve"> durch eigene</w:t>
            </w:r>
            <w:r>
              <w:t>s Kapital</w:t>
            </w:r>
            <w:r w:rsidRPr="00C20D6A">
              <w:t xml:space="preserve"> oder </w:t>
            </w:r>
            <w:r w:rsidR="00B93199">
              <w:t xml:space="preserve">durch </w:t>
            </w:r>
            <w:r w:rsidRPr="00C20D6A">
              <w:t>fremde Kapitalgeber</w:t>
            </w:r>
            <w:r w:rsidR="008B48C0">
              <w:t>.</w:t>
            </w:r>
          </w:p>
        </w:tc>
        <w:tc>
          <w:tcPr>
            <w:tcW w:w="1155" w:type="dxa"/>
          </w:tcPr>
          <w:p w:rsidR="00DD7CDA" w:rsidRDefault="00DD7CDA" w:rsidP="006A5364">
            <w:pPr>
              <w:jc w:val="center"/>
            </w:pPr>
          </w:p>
          <w:p w:rsidR="00C37F00" w:rsidRDefault="00C20D6A" w:rsidP="006A5364">
            <w:pPr>
              <w:jc w:val="center"/>
            </w:pPr>
            <w:r>
              <w:t>III</w:t>
            </w:r>
          </w:p>
          <w:p w:rsidR="00C20D6A" w:rsidRDefault="00C20D6A" w:rsidP="006A5364">
            <w:pPr>
              <w:jc w:val="center"/>
            </w:pPr>
            <w:r>
              <w:t>5 %</w:t>
            </w:r>
          </w:p>
        </w:tc>
      </w:tr>
      <w:tr w:rsidR="00C37F00" w:rsidTr="00A32381">
        <w:trPr>
          <w:trHeight w:val="549"/>
        </w:trPr>
        <w:tc>
          <w:tcPr>
            <w:tcW w:w="1211" w:type="dxa"/>
          </w:tcPr>
          <w:p w:rsidR="00C37F00" w:rsidRDefault="00C20D6A" w:rsidP="00C37F00">
            <w:pPr>
              <w:tabs>
                <w:tab w:val="center" w:pos="497"/>
                <w:tab w:val="left" w:pos="990"/>
              </w:tabs>
              <w:jc w:val="left"/>
              <w:rPr>
                <w:rFonts w:cs="Arial"/>
                <w:bCs/>
                <w:color w:val="000000"/>
                <w:szCs w:val="22"/>
              </w:rPr>
            </w:pPr>
            <w:r>
              <w:rPr>
                <w:rFonts w:cs="Arial"/>
                <w:bCs/>
                <w:color w:val="000000"/>
                <w:szCs w:val="22"/>
              </w:rPr>
              <w:t>7</w:t>
            </w:r>
          </w:p>
        </w:tc>
        <w:tc>
          <w:tcPr>
            <w:tcW w:w="7488" w:type="dxa"/>
          </w:tcPr>
          <w:p w:rsidR="00C20D6A" w:rsidRDefault="00C20D6A" w:rsidP="00026C6E">
            <w:pPr>
              <w:jc w:val="left"/>
            </w:pPr>
            <w:r>
              <w:t>Die Schülerinnen und Schüler argumentieren in der Diskussion sinngemäß:</w:t>
            </w:r>
          </w:p>
          <w:p w:rsidR="00C37F00" w:rsidRDefault="00C20D6A" w:rsidP="00B93199">
            <w:pPr>
              <w:jc w:val="left"/>
            </w:pPr>
            <w:r w:rsidRPr="00C20D6A">
              <w:t>Bezogen auf das Ausgangsbeispiel ist durch die hohe Finanzierung mit eigenen Mitteln eine expansive Investitionstätigkeit bei einer entsprechend guten wirtschaftlichen Entwicklung des Unternehmens durch fremde Kapitalgeb</w:t>
            </w:r>
            <w:r>
              <w:t>er - Fremdkapital - unproblematisch, damit besteht</w:t>
            </w:r>
            <w:r w:rsidRPr="00C20D6A">
              <w:t xml:space="preserve"> hohe Kreditsicherheit.</w:t>
            </w:r>
          </w:p>
        </w:tc>
        <w:tc>
          <w:tcPr>
            <w:tcW w:w="1155" w:type="dxa"/>
          </w:tcPr>
          <w:p w:rsidR="00DD7CDA" w:rsidRDefault="00DD7CDA" w:rsidP="006A5364">
            <w:pPr>
              <w:jc w:val="center"/>
            </w:pPr>
          </w:p>
          <w:p w:rsidR="00DD7CDA" w:rsidRDefault="00DD7CDA" w:rsidP="006A5364">
            <w:pPr>
              <w:jc w:val="center"/>
            </w:pPr>
          </w:p>
          <w:p w:rsidR="00C37F00" w:rsidRDefault="00C20D6A" w:rsidP="006A5364">
            <w:pPr>
              <w:jc w:val="center"/>
            </w:pPr>
            <w:r>
              <w:t>III</w:t>
            </w:r>
          </w:p>
          <w:p w:rsidR="00C20D6A" w:rsidRDefault="00C20D6A" w:rsidP="006A5364">
            <w:pPr>
              <w:jc w:val="center"/>
            </w:pPr>
            <w:r>
              <w:t>5 %</w:t>
            </w:r>
          </w:p>
        </w:tc>
      </w:tr>
    </w:tbl>
    <w:p w:rsidR="001A6121" w:rsidRPr="001A6121" w:rsidRDefault="001A6121" w:rsidP="00980B7D">
      <w:pPr>
        <w:rPr>
          <w:rFonts w:cs="Arial"/>
          <w:b/>
          <w:bCs/>
          <w:color w:val="000000"/>
          <w:sz w:val="20"/>
          <w:szCs w:val="20"/>
        </w:rPr>
      </w:pPr>
    </w:p>
    <w:sectPr w:rsidR="001A6121" w:rsidRPr="001A6121" w:rsidSect="00271259">
      <w:footerReference w:type="default" r:id="rId16"/>
      <w:footerReference w:type="first" r:id="rId17"/>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2EE" w:rsidRDefault="007352EE" w:rsidP="00A32381">
      <w:pPr>
        <w:spacing w:line="240" w:lineRule="auto"/>
      </w:pPr>
      <w:r>
        <w:separator/>
      </w:r>
    </w:p>
  </w:endnote>
  <w:endnote w:type="continuationSeparator" w:id="0">
    <w:p w:rsidR="007352EE" w:rsidRDefault="007352EE"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600796"/>
      <w:docPartObj>
        <w:docPartGallery w:val="Page Numbers (Bottom of Page)"/>
        <w:docPartUnique/>
      </w:docPartObj>
    </w:sdtPr>
    <w:sdtEndPr/>
    <w:sdtContent>
      <w:p w:rsidR="000C3B6A" w:rsidRDefault="007352EE" w:rsidP="00271259">
        <w:pPr>
          <w:pStyle w:val="Fuzeile"/>
          <w:pBdr>
            <w:top w:val="single" w:sz="4" w:space="4" w:color="auto"/>
          </w:pBdr>
          <w:tabs>
            <w:tab w:val="clear" w:pos="4536"/>
            <w:tab w:val="clear" w:pos="9072"/>
            <w:tab w:val="center" w:pos="4820"/>
            <w:tab w:val="right" w:pos="8280"/>
          </w:tabs>
          <w:spacing w:line="360" w:lineRule="auto"/>
          <w:jc w:val="cente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36.8pt;margin-top:-478.9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093903" w:rsidRPr="00093903">
          <w:rPr>
            <w:sz w:val="18"/>
            <w:szCs w:val="18"/>
          </w:rPr>
          <w:t xml:space="preserve"> </w:t>
        </w:r>
        <w:r w:rsidR="00093903" w:rsidRPr="00840F9C">
          <w:rPr>
            <w:sz w:val="18"/>
            <w:szCs w:val="18"/>
          </w:rPr>
          <w:t xml:space="preserve">Landesinstitut für Schulqualität und Lehrerbildung </w:t>
        </w:r>
        <w:r w:rsidR="00093903" w:rsidRPr="00F567AE">
          <w:rPr>
            <w:sz w:val="18"/>
            <w:szCs w:val="18"/>
          </w:rPr>
          <w:t>Sachsen Anhalt I Lizenz: Creative Commons (CC BY-SA 3.0</w:t>
        </w:r>
        <w:r w:rsidR="000C3B6A" w:rsidRPr="00A12FAA">
          <w:rPr>
            <w:sz w:val="18"/>
            <w:szCs w:val="18"/>
          </w:rPr>
          <w:t>)</w:t>
        </w:r>
      </w:p>
    </w:sdtContent>
  </w:sdt>
  <w:p w:rsidR="00271259" w:rsidRPr="00E11C91" w:rsidRDefault="00271259" w:rsidP="00271259">
    <w:pPr>
      <w:pStyle w:val="Fuzeile"/>
      <w:pBdr>
        <w:top w:val="single" w:sz="4" w:space="4" w:color="auto"/>
      </w:pBdr>
      <w:tabs>
        <w:tab w:val="clear" w:pos="4536"/>
        <w:tab w:val="clear" w:pos="9072"/>
        <w:tab w:val="center" w:pos="4820"/>
        <w:tab w:val="right" w:pos="8280"/>
      </w:tabs>
      <w:spacing w:line="360" w:lineRule="auto"/>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704005"/>
      <w:docPartObj>
        <w:docPartGallery w:val="Page Numbers (Bottom of Page)"/>
        <w:docPartUnique/>
      </w:docPartObj>
    </w:sdtPr>
    <w:sdtEndPr/>
    <w:sdtContent>
      <w:p w:rsidR="006C6716" w:rsidRDefault="00271259" w:rsidP="00271259">
        <w:pPr>
          <w:pStyle w:val="Fuzeile"/>
          <w:pBdr>
            <w:top w:val="single" w:sz="4" w:space="4" w:color="auto"/>
          </w:pBdr>
          <w:tabs>
            <w:tab w:val="clear" w:pos="4536"/>
            <w:tab w:val="clear" w:pos="9072"/>
            <w:tab w:val="center" w:pos="4820"/>
            <w:tab w:val="right" w:pos="8280"/>
          </w:tabs>
          <w:spacing w:before="120" w:line="360" w:lineRule="auto"/>
          <w:jc w:val="center"/>
          <w:rPr>
            <w:sz w:val="18"/>
            <w:szCs w:val="18"/>
          </w:rPr>
        </w:pPr>
        <w:r w:rsidRPr="00271259">
          <w:rPr>
            <w:sz w:val="18"/>
            <w:szCs w:val="18"/>
          </w:rPr>
          <w:t xml:space="preserve"> </w:t>
        </w:r>
        <w:r w:rsidRPr="00840F9C">
          <w:rPr>
            <w:sz w:val="18"/>
            <w:szCs w:val="18"/>
          </w:rPr>
          <w:t xml:space="preserve">Landesinstitut für Schulqualität und Lehrerbildung </w:t>
        </w:r>
        <w:r w:rsidRPr="00F567AE">
          <w:rPr>
            <w:sz w:val="18"/>
            <w:szCs w:val="18"/>
          </w:rPr>
          <w:t>Sachsen Anhalt I Lizenz: Creative Commons (CC BY-SA 3.0)</w:t>
        </w:r>
        <w:r w:rsidR="000C3B6A" w:rsidRPr="00A12FAA">
          <w:rPr>
            <w:sz w:val="18"/>
            <w:szCs w:val="18"/>
          </w:rPr>
          <w:t>)</w:t>
        </w:r>
      </w:p>
      <w:p w:rsidR="000C3B6A" w:rsidRPr="000C3B6A" w:rsidRDefault="007352EE" w:rsidP="00271259">
        <w:pPr>
          <w:pStyle w:val="Fuzeile"/>
          <w:pBdr>
            <w:top w:val="single" w:sz="4" w:space="4" w:color="auto"/>
          </w:pBdr>
          <w:tabs>
            <w:tab w:val="clear" w:pos="4536"/>
            <w:tab w:val="clear" w:pos="9072"/>
            <w:tab w:val="center" w:pos="4820"/>
            <w:tab w:val="right" w:pos="8280"/>
          </w:tabs>
          <w:spacing w:line="360" w:lineRule="auto"/>
          <w:jc w:val="center"/>
          <w:rPr>
            <w:sz w:val="18"/>
            <w:szCs w:val="18"/>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59" w:rsidRPr="00F567AE" w:rsidRDefault="007352EE" w:rsidP="00271259">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left:0;text-align:left;margin-left:48.8pt;margin-top:-445.7pt;width:338.85pt;height:194.4pt;rotation:-932592fd;z-index:-251651072;mso-wrap-edited:f;mso-position-horizontal-relative:text;mso-position-vertical-relative:text" adj="15429" fillcolor="silver" stroked="f">
          <v:shadow color="#868686"/>
          <v:textpath style="font-family:&quot;Arial Black&quot;;v-text-kern:t" trim="t" fitpath="t" string="ERPROBUNG"/>
        </v:shape>
      </w:pict>
    </w:r>
    <w:r w:rsidR="00271259" w:rsidRPr="00840F9C">
      <w:rPr>
        <w:sz w:val="18"/>
        <w:szCs w:val="18"/>
      </w:rPr>
      <w:t xml:space="preserve">Landesinstitut für Schulqualität und Lehrerbildung </w:t>
    </w:r>
    <w:r w:rsidR="00271259" w:rsidRPr="00F567AE">
      <w:rPr>
        <w:sz w:val="18"/>
        <w:szCs w:val="18"/>
      </w:rPr>
      <w:t>Sachsen Anhalt I Lizenz: Creative Commons (CC BY-SA 3.0)</w:t>
    </w:r>
  </w:p>
  <w:p w:rsidR="006C6716" w:rsidRPr="008132DA" w:rsidRDefault="006C6716" w:rsidP="00271259">
    <w:pPr>
      <w:pStyle w:val="Fuzeile"/>
      <w:tabs>
        <w:tab w:val="center" w:pos="4820"/>
      </w:tabs>
      <w:spacing w:line="360" w:lineRule="auto"/>
      <w:jc w:val="center"/>
      <w:rPr>
        <w:sz w:val="18"/>
        <w:szCs w:val="18"/>
      </w:rPr>
    </w:pPr>
    <w:r w:rsidRPr="008132DA">
      <w:rPr>
        <w:sz w:val="18"/>
        <w:szCs w:val="18"/>
      </w:rPr>
      <w:t xml:space="preserve"> </w:t>
    </w:r>
    <w:r w:rsidRPr="008132DA">
      <w:rPr>
        <w:sz w:val="18"/>
        <w:szCs w:val="18"/>
      </w:rPr>
      <w:fldChar w:fldCharType="begin"/>
    </w:r>
    <w:r w:rsidRPr="008132DA">
      <w:rPr>
        <w:sz w:val="18"/>
        <w:szCs w:val="18"/>
      </w:rPr>
      <w:instrText>PAGE   \* MERGEFORMAT</w:instrText>
    </w:r>
    <w:r w:rsidRPr="008132DA">
      <w:rPr>
        <w:sz w:val="18"/>
        <w:szCs w:val="18"/>
      </w:rPr>
      <w:fldChar w:fldCharType="separate"/>
    </w:r>
    <w:r w:rsidR="00093903">
      <w:rPr>
        <w:noProof/>
        <w:sz w:val="18"/>
        <w:szCs w:val="18"/>
      </w:rPr>
      <w:t>1</w:t>
    </w:r>
    <w:r w:rsidRPr="008132DA">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120589"/>
      <w:docPartObj>
        <w:docPartGallery w:val="Page Numbers (Bottom of Page)"/>
        <w:docPartUnique/>
      </w:docPartObj>
    </w:sdtPr>
    <w:sdtEndPr/>
    <w:sdtContent>
      <w:p w:rsidR="006C6716" w:rsidRDefault="007352EE" w:rsidP="000C3B6A">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left:0;text-align:left;margin-left:36.8pt;margin-top:-478.9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6C6716" w:rsidRPr="00A12FAA">
          <w:rPr>
            <w:sz w:val="18"/>
            <w:szCs w:val="18"/>
          </w:rPr>
          <w:t>Quelle: Bildungsserver Sachsen-Anhalt (http://www.bildung-lsa.de) | Lizenz: Creative Commons (CC BY-SA 3.0)</w:t>
        </w:r>
      </w:p>
      <w:p w:rsidR="006C6716" w:rsidRPr="000C3B6A" w:rsidRDefault="007352EE" w:rsidP="000C3B6A">
        <w:pPr>
          <w:pStyle w:val="Fuzeile"/>
          <w:pBdr>
            <w:top w:val="single" w:sz="4" w:space="4" w:color="auto"/>
          </w:pBdr>
          <w:tabs>
            <w:tab w:val="clear" w:pos="4536"/>
            <w:tab w:val="clear" w:pos="9072"/>
            <w:tab w:val="center" w:pos="4820"/>
            <w:tab w:val="right" w:pos="8280"/>
          </w:tabs>
          <w:spacing w:before="120"/>
          <w:jc w:val="center"/>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2EE" w:rsidRDefault="007352EE" w:rsidP="00A32381">
      <w:pPr>
        <w:spacing w:line="240" w:lineRule="auto"/>
      </w:pPr>
      <w:r>
        <w:separator/>
      </w:r>
    </w:p>
  </w:footnote>
  <w:footnote w:type="continuationSeparator" w:id="0">
    <w:p w:rsidR="007352EE" w:rsidRDefault="007352EE" w:rsidP="00A323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59" w:rsidRDefault="007352EE">
    <w:pPr>
      <w:pStyle w:val="Kopfzeile"/>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4.05pt;margin-top:250.8pt;width:338.85pt;height:194.4pt;rotation:-932592fd;z-index:-251657216;mso-wrap-edited:f;mso-position-horizontal-relative:text;mso-position-vertical-relative:text" adj="15429" fillcolor="silver" stroked="f">
          <v:shadow color="#868686"/>
          <v:textpath style="font-family:&quot;Arial Black&quot;;v-text-kern:t" trim="t" fitpath="t" string="ERPROBUNG"/>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1">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D3023C9"/>
    <w:multiLevelType w:val="hybridMultilevel"/>
    <w:tmpl w:val="25105C84"/>
    <w:lvl w:ilvl="0" w:tplc="043E36B0">
      <w:start w:val="1"/>
      <w:numFmt w:val="bullet"/>
      <w:lvlText w:val="•"/>
      <w:lvlJc w:val="left"/>
      <w:pPr>
        <w:ind w:left="1069" w:hanging="360"/>
      </w:pPr>
      <w:rPr>
        <w:rFonts w:ascii="Arial" w:hAnsi="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nsid w:val="119B17EB"/>
    <w:multiLevelType w:val="hybridMultilevel"/>
    <w:tmpl w:val="FF7E23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7BB22A2"/>
    <w:multiLevelType w:val="hybridMultilevel"/>
    <w:tmpl w:val="DFFEB7C0"/>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F3A3183"/>
    <w:multiLevelType w:val="hybridMultilevel"/>
    <w:tmpl w:val="35BCBCEA"/>
    <w:lvl w:ilvl="0" w:tplc="42BA4D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CBA6E4E"/>
    <w:multiLevelType w:val="hybridMultilevel"/>
    <w:tmpl w:val="E9585192"/>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49656A90"/>
    <w:multiLevelType w:val="hybridMultilevel"/>
    <w:tmpl w:val="33EE9758"/>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4B472697"/>
    <w:multiLevelType w:val="hybridMultilevel"/>
    <w:tmpl w:val="793A0F30"/>
    <w:lvl w:ilvl="0" w:tplc="8FC0663C">
      <w:start w:val="1"/>
      <w:numFmt w:val="bullet"/>
      <w:lvlText w:val="–"/>
      <w:lvlJc w:val="left"/>
      <w:pPr>
        <w:ind w:left="360" w:hanging="360"/>
      </w:pPr>
      <w:rPr>
        <w:rFonts w:ascii="Arial" w:hAnsi="Arial" w:hint="default"/>
        <w:b w:val="0"/>
      </w:rPr>
    </w:lvl>
    <w:lvl w:ilvl="1" w:tplc="043E36B0">
      <w:start w:val="1"/>
      <w:numFmt w:val="bullet"/>
      <w:lvlText w:val="•"/>
      <w:lvlJc w:val="left"/>
      <w:pPr>
        <w:ind w:left="1080" w:hanging="360"/>
      </w:pPr>
      <w:rPr>
        <w:rFonts w:ascii="Arial"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nsid w:val="66DE2CD5"/>
    <w:multiLevelType w:val="hybridMultilevel"/>
    <w:tmpl w:val="08608CD4"/>
    <w:lvl w:ilvl="0" w:tplc="584239BE">
      <w:start w:val="1"/>
      <w:numFmt w:val="bullet"/>
      <w:lvlText w:val="–"/>
      <w:lvlJc w:val="left"/>
      <w:pPr>
        <w:ind w:left="360" w:hanging="360"/>
      </w:pPr>
      <w:rPr>
        <w:rFonts w:ascii="Arial" w:hAnsi="Arial" w:hint="default"/>
        <w:u w:color="FFC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6FE3ABF"/>
    <w:multiLevelType w:val="hybridMultilevel"/>
    <w:tmpl w:val="15A6CFC6"/>
    <w:lvl w:ilvl="0" w:tplc="148A767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14"/>
  </w:num>
  <w:num w:numId="3">
    <w:abstractNumId w:val="16"/>
  </w:num>
  <w:num w:numId="4">
    <w:abstractNumId w:val="15"/>
  </w:num>
  <w:num w:numId="5">
    <w:abstractNumId w:val="1"/>
  </w:num>
  <w:num w:numId="6">
    <w:abstractNumId w:val="3"/>
  </w:num>
  <w:num w:numId="7">
    <w:abstractNumId w:val="9"/>
  </w:num>
  <w:num w:numId="8">
    <w:abstractNumId w:val="0"/>
  </w:num>
  <w:num w:numId="9">
    <w:abstractNumId w:val="2"/>
  </w:num>
  <w:num w:numId="10">
    <w:abstractNumId w:val="12"/>
  </w:num>
  <w:num w:numId="11">
    <w:abstractNumId w:val="6"/>
  </w:num>
  <w:num w:numId="12">
    <w:abstractNumId w:val="11"/>
  </w:num>
  <w:num w:numId="13">
    <w:abstractNumId w:val="17"/>
  </w:num>
  <w:num w:numId="14">
    <w:abstractNumId w:val="10"/>
  </w:num>
  <w:num w:numId="15">
    <w:abstractNumId w:val="7"/>
  </w:num>
  <w:num w:numId="16">
    <w:abstractNumId w:val="5"/>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26C6E"/>
    <w:rsid w:val="00043A90"/>
    <w:rsid w:val="00064347"/>
    <w:rsid w:val="000748AC"/>
    <w:rsid w:val="00086254"/>
    <w:rsid w:val="0008717E"/>
    <w:rsid w:val="00093903"/>
    <w:rsid w:val="000A49B0"/>
    <w:rsid w:val="000B3CF7"/>
    <w:rsid w:val="000B469F"/>
    <w:rsid w:val="000B51EE"/>
    <w:rsid w:val="000B55AF"/>
    <w:rsid w:val="000C0BFD"/>
    <w:rsid w:val="000C3B6A"/>
    <w:rsid w:val="000C5928"/>
    <w:rsid w:val="000E1086"/>
    <w:rsid w:val="000E42E4"/>
    <w:rsid w:val="000F073A"/>
    <w:rsid w:val="00141E84"/>
    <w:rsid w:val="0014315D"/>
    <w:rsid w:val="001A6121"/>
    <w:rsid w:val="001C1EB0"/>
    <w:rsid w:val="001E11B1"/>
    <w:rsid w:val="001F1DE2"/>
    <w:rsid w:val="001F3615"/>
    <w:rsid w:val="00200912"/>
    <w:rsid w:val="00201162"/>
    <w:rsid w:val="00223E24"/>
    <w:rsid w:val="002317E8"/>
    <w:rsid w:val="002561D6"/>
    <w:rsid w:val="0026205C"/>
    <w:rsid w:val="002677D1"/>
    <w:rsid w:val="00271259"/>
    <w:rsid w:val="002814B0"/>
    <w:rsid w:val="0028384B"/>
    <w:rsid w:val="002B0659"/>
    <w:rsid w:val="002B6E0C"/>
    <w:rsid w:val="002C7DCB"/>
    <w:rsid w:val="002D694A"/>
    <w:rsid w:val="002E7619"/>
    <w:rsid w:val="00300019"/>
    <w:rsid w:val="00325C87"/>
    <w:rsid w:val="00333B10"/>
    <w:rsid w:val="0035137E"/>
    <w:rsid w:val="00362B14"/>
    <w:rsid w:val="00370190"/>
    <w:rsid w:val="00390887"/>
    <w:rsid w:val="003B3463"/>
    <w:rsid w:val="003E36DC"/>
    <w:rsid w:val="003E56A1"/>
    <w:rsid w:val="003E6D74"/>
    <w:rsid w:val="003E7768"/>
    <w:rsid w:val="003F2306"/>
    <w:rsid w:val="00411AF0"/>
    <w:rsid w:val="00423FAA"/>
    <w:rsid w:val="00471122"/>
    <w:rsid w:val="00486841"/>
    <w:rsid w:val="00487D63"/>
    <w:rsid w:val="004D59F5"/>
    <w:rsid w:val="004D5EF2"/>
    <w:rsid w:val="005175BA"/>
    <w:rsid w:val="00525675"/>
    <w:rsid w:val="005353B5"/>
    <w:rsid w:val="0054340C"/>
    <w:rsid w:val="00552DF9"/>
    <w:rsid w:val="00554730"/>
    <w:rsid w:val="00565F36"/>
    <w:rsid w:val="00570E5E"/>
    <w:rsid w:val="00576C5F"/>
    <w:rsid w:val="005B3BCC"/>
    <w:rsid w:val="005C3EDC"/>
    <w:rsid w:val="005D2B90"/>
    <w:rsid w:val="0061248B"/>
    <w:rsid w:val="00626A57"/>
    <w:rsid w:val="00631193"/>
    <w:rsid w:val="006479D3"/>
    <w:rsid w:val="006561C0"/>
    <w:rsid w:val="006600DF"/>
    <w:rsid w:val="006724F4"/>
    <w:rsid w:val="00690239"/>
    <w:rsid w:val="006A43D5"/>
    <w:rsid w:val="006A5364"/>
    <w:rsid w:val="006A788A"/>
    <w:rsid w:val="006C5670"/>
    <w:rsid w:val="006C6716"/>
    <w:rsid w:val="00716C7B"/>
    <w:rsid w:val="00717319"/>
    <w:rsid w:val="00725432"/>
    <w:rsid w:val="007266FD"/>
    <w:rsid w:val="007352EE"/>
    <w:rsid w:val="0077009E"/>
    <w:rsid w:val="0078267A"/>
    <w:rsid w:val="0079211F"/>
    <w:rsid w:val="007C025D"/>
    <w:rsid w:val="007F1581"/>
    <w:rsid w:val="0080014C"/>
    <w:rsid w:val="008054D6"/>
    <w:rsid w:val="008132DA"/>
    <w:rsid w:val="00820BC8"/>
    <w:rsid w:val="008657CC"/>
    <w:rsid w:val="00866C8A"/>
    <w:rsid w:val="008720AD"/>
    <w:rsid w:val="0089742D"/>
    <w:rsid w:val="008A1CAB"/>
    <w:rsid w:val="008B48C0"/>
    <w:rsid w:val="008D2BE2"/>
    <w:rsid w:val="008D7CC8"/>
    <w:rsid w:val="008F3627"/>
    <w:rsid w:val="008F4E55"/>
    <w:rsid w:val="009034A7"/>
    <w:rsid w:val="00922DF9"/>
    <w:rsid w:val="00926BDE"/>
    <w:rsid w:val="00954F19"/>
    <w:rsid w:val="009613F7"/>
    <w:rsid w:val="0096680B"/>
    <w:rsid w:val="009737D5"/>
    <w:rsid w:val="00977AB1"/>
    <w:rsid w:val="00980B7D"/>
    <w:rsid w:val="009E031F"/>
    <w:rsid w:val="00A05A5B"/>
    <w:rsid w:val="00A32381"/>
    <w:rsid w:val="00A47F2D"/>
    <w:rsid w:val="00A503EA"/>
    <w:rsid w:val="00A51593"/>
    <w:rsid w:val="00A57147"/>
    <w:rsid w:val="00AB07F3"/>
    <w:rsid w:val="00AE273B"/>
    <w:rsid w:val="00AE3DE4"/>
    <w:rsid w:val="00B03CAD"/>
    <w:rsid w:val="00B07EA9"/>
    <w:rsid w:val="00B709E6"/>
    <w:rsid w:val="00B7336C"/>
    <w:rsid w:val="00B7382F"/>
    <w:rsid w:val="00B763D8"/>
    <w:rsid w:val="00B777E7"/>
    <w:rsid w:val="00B908CA"/>
    <w:rsid w:val="00B93199"/>
    <w:rsid w:val="00BA309E"/>
    <w:rsid w:val="00BD0702"/>
    <w:rsid w:val="00BD4D92"/>
    <w:rsid w:val="00C16EC8"/>
    <w:rsid w:val="00C20D6A"/>
    <w:rsid w:val="00C24FD3"/>
    <w:rsid w:val="00C26810"/>
    <w:rsid w:val="00C37F00"/>
    <w:rsid w:val="00C87C98"/>
    <w:rsid w:val="00C91D26"/>
    <w:rsid w:val="00CB0A36"/>
    <w:rsid w:val="00CC4B84"/>
    <w:rsid w:val="00CE62BF"/>
    <w:rsid w:val="00CF7E96"/>
    <w:rsid w:val="00D36048"/>
    <w:rsid w:val="00D36A8A"/>
    <w:rsid w:val="00D37B20"/>
    <w:rsid w:val="00D43D90"/>
    <w:rsid w:val="00D4661C"/>
    <w:rsid w:val="00D730CB"/>
    <w:rsid w:val="00D74E66"/>
    <w:rsid w:val="00D86E5F"/>
    <w:rsid w:val="00D91AEE"/>
    <w:rsid w:val="00D97BA6"/>
    <w:rsid w:val="00DB223D"/>
    <w:rsid w:val="00DB6CE4"/>
    <w:rsid w:val="00DD4D3F"/>
    <w:rsid w:val="00DD7CDA"/>
    <w:rsid w:val="00DE7FC9"/>
    <w:rsid w:val="00E03453"/>
    <w:rsid w:val="00E14902"/>
    <w:rsid w:val="00E21989"/>
    <w:rsid w:val="00E427A1"/>
    <w:rsid w:val="00E448E5"/>
    <w:rsid w:val="00E65ECC"/>
    <w:rsid w:val="00E74F63"/>
    <w:rsid w:val="00E82630"/>
    <w:rsid w:val="00E84AA4"/>
    <w:rsid w:val="00EA278F"/>
    <w:rsid w:val="00F17B11"/>
    <w:rsid w:val="00F64964"/>
    <w:rsid w:val="00F6783F"/>
    <w:rsid w:val="00F80FF0"/>
    <w:rsid w:val="00F81BB2"/>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0F6C-9CEB-4510-B5A0-816AA605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1422</Words>
  <Characters>8961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10363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7</cp:revision>
  <cp:lastPrinted>2017-05-16T12:10:00Z</cp:lastPrinted>
  <dcterms:created xsi:type="dcterms:W3CDTF">2017-06-12T07:30:00Z</dcterms:created>
  <dcterms:modified xsi:type="dcterms:W3CDTF">2017-09-06T12:14:00Z</dcterms:modified>
</cp:coreProperties>
</file>