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A3347" w14:textId="31F0E4E3" w:rsidR="005120ED" w:rsidRDefault="005120ED" w:rsidP="005120ED">
      <w:pPr>
        <w:rPr>
          <w:rFonts w:eastAsiaTheme="majorEastAsia" w:cs="Arial"/>
          <w:bCs/>
          <w:sz w:val="24"/>
          <w:szCs w:val="24"/>
        </w:rPr>
      </w:pPr>
      <w:r w:rsidRPr="0053734C">
        <w:rPr>
          <w:rFonts w:eastAsiaTheme="majorEastAsia" w:cs="Arial"/>
          <w:bCs/>
          <w:sz w:val="24"/>
          <w:szCs w:val="24"/>
        </w:rPr>
        <w:t>Niveaubestimmende Aufgaben – Physik – Schuljahrg</w:t>
      </w:r>
      <w:r>
        <w:rPr>
          <w:rFonts w:eastAsiaTheme="majorEastAsia" w:cs="Arial"/>
          <w:bCs/>
          <w:sz w:val="24"/>
          <w:szCs w:val="24"/>
        </w:rPr>
        <w:t>ä</w:t>
      </w:r>
      <w:r w:rsidRPr="0053734C">
        <w:rPr>
          <w:rFonts w:eastAsiaTheme="majorEastAsia" w:cs="Arial"/>
          <w:bCs/>
          <w:sz w:val="24"/>
          <w:szCs w:val="24"/>
        </w:rPr>
        <w:t>ng</w:t>
      </w:r>
      <w:r>
        <w:rPr>
          <w:rFonts w:eastAsiaTheme="majorEastAsia" w:cs="Arial"/>
          <w:bCs/>
          <w:sz w:val="24"/>
          <w:szCs w:val="24"/>
        </w:rPr>
        <w:t>e</w:t>
      </w:r>
      <w:r w:rsidRPr="0053734C">
        <w:rPr>
          <w:rFonts w:eastAsiaTheme="majorEastAsia" w:cs="Arial"/>
          <w:bCs/>
          <w:sz w:val="24"/>
          <w:szCs w:val="24"/>
        </w:rPr>
        <w:t xml:space="preserve"> </w:t>
      </w:r>
      <w:r>
        <w:rPr>
          <w:rFonts w:eastAsiaTheme="majorEastAsia" w:cs="Arial"/>
          <w:bCs/>
          <w:sz w:val="24"/>
          <w:szCs w:val="24"/>
        </w:rPr>
        <w:t>9/10:</w:t>
      </w:r>
    </w:p>
    <w:p w14:paraId="79626AAE" w14:textId="678BFEBB" w:rsidR="005120ED" w:rsidRDefault="005120ED" w:rsidP="005120ED">
      <w:pPr>
        <w:rPr>
          <w:rFonts w:eastAsia="Calibri" w:cs="Arial"/>
          <w:b/>
          <w:noProof/>
          <w:sz w:val="28"/>
          <w:szCs w:val="28"/>
        </w:rPr>
      </w:pPr>
      <w:r>
        <w:rPr>
          <w:rFonts w:eastAsia="Calibri" w:cs="Arial"/>
          <w:b/>
          <w:noProof/>
          <w:sz w:val="28"/>
          <w:szCs w:val="28"/>
        </w:rPr>
        <w:t>Untersuchung des Handyempfangs</w:t>
      </w:r>
    </w:p>
    <w:p w14:paraId="00B846D2" w14:textId="77777777" w:rsidR="005120ED" w:rsidRDefault="005120ED" w:rsidP="005120ED"/>
    <w:p w14:paraId="310F4DB4" w14:textId="451E94B6" w:rsidR="00030354" w:rsidRPr="00030354" w:rsidRDefault="00030354" w:rsidP="00030354">
      <w:r>
        <w:rPr>
          <w:noProof/>
          <w:lang w:eastAsia="de-DE"/>
        </w:rPr>
        <w:drawing>
          <wp:inline distT="0" distB="0" distL="0" distR="0" wp14:anchorId="413BE0BC" wp14:editId="0185622C">
            <wp:extent cx="6190594" cy="4400550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8019" cy="440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9" w:type="dxa"/>
        <w:shd w:val="clear" w:color="auto" w:fill="FFFFFF" w:themeFill="background1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214"/>
        <w:gridCol w:w="425"/>
      </w:tblGrid>
      <w:tr w:rsidR="009901E9" w:rsidRPr="007B0456" w14:paraId="365904AB" w14:textId="77777777" w:rsidTr="00800B33">
        <w:tc>
          <w:tcPr>
            <w:tcW w:w="9639" w:type="dxa"/>
            <w:gridSpan w:val="2"/>
            <w:shd w:val="clear" w:color="auto" w:fill="FFFFFF" w:themeFill="background1"/>
          </w:tcPr>
          <w:p w14:paraId="59553EDA" w14:textId="0AAFAE62" w:rsidR="009901E9" w:rsidRPr="007B0456" w:rsidRDefault="009901E9" w:rsidP="00F15230"/>
        </w:tc>
      </w:tr>
      <w:tr w:rsidR="009901E9" w:rsidRPr="007B0456" w14:paraId="510F914A" w14:textId="77777777" w:rsidTr="00800B33"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CAF6DAE" w14:textId="1085411F" w:rsidR="009901E9" w:rsidRPr="007B0456" w:rsidRDefault="005120ED" w:rsidP="005120ED">
            <w:pPr>
              <w:pStyle w:val="Listenabsatz"/>
              <w:numPr>
                <w:ilvl w:val="0"/>
                <w:numId w:val="22"/>
              </w:numPr>
              <w:ind w:left="321"/>
              <w:rPr>
                <w:b/>
                <w:noProof/>
              </w:rPr>
            </w:pPr>
            <w:r w:rsidRPr="00D713C4">
              <w:rPr>
                <w:b/>
                <w:noProof/>
                <w:sz w:val="24"/>
                <w:szCs w:val="24"/>
              </w:rPr>
              <w:t>Einordnung in den Fachlehrplan</w:t>
            </w:r>
          </w:p>
        </w:tc>
      </w:tr>
      <w:tr w:rsidR="009901E9" w:rsidRPr="007B0456" w14:paraId="6F4E2BA8" w14:textId="77777777" w:rsidTr="00800B33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459EFF" w14:textId="77777777" w:rsidR="009901E9" w:rsidRPr="007B0456" w:rsidRDefault="009901E9" w:rsidP="00F15230">
            <w:pPr>
              <w:rPr>
                <w:u w:val="single"/>
              </w:rPr>
            </w:pPr>
            <w:r w:rsidRPr="007B0456">
              <w:rPr>
                <w:u w:val="single"/>
              </w:rPr>
              <w:t>Kompetenzschwerpunkt(e) bzw. Kompetenzbereiche:</w:t>
            </w:r>
          </w:p>
          <w:p w14:paraId="13A30046" w14:textId="77777777" w:rsidR="009901E9" w:rsidRPr="009A324E" w:rsidRDefault="00CD434C" w:rsidP="00F15230">
            <w:pPr>
              <w:rPr>
                <w:b/>
              </w:rPr>
            </w:pPr>
            <w:r w:rsidRPr="009A324E">
              <w:rPr>
                <w:b/>
              </w:rPr>
              <w:t>Wirkungen von Strahlung untersuchen und bewerten</w:t>
            </w:r>
          </w:p>
        </w:tc>
      </w:tr>
      <w:tr w:rsidR="009901E9" w:rsidRPr="007B0456" w14:paraId="56BC707B" w14:textId="77777777" w:rsidTr="00800B33">
        <w:trPr>
          <w:trHeight w:val="1898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EDCF02" w14:textId="77777777" w:rsidR="009901E9" w:rsidRPr="007B0456" w:rsidRDefault="009901E9" w:rsidP="00F15230">
            <w:pPr>
              <w:rPr>
                <w:u w:val="single"/>
              </w:rPr>
            </w:pPr>
            <w:r w:rsidRPr="007B0456">
              <w:rPr>
                <w:u w:val="single"/>
              </w:rPr>
              <w:t>zu ent</w:t>
            </w:r>
            <w:r w:rsidR="00494DE7">
              <w:rPr>
                <w:u w:val="single"/>
              </w:rPr>
              <w:t xml:space="preserve">wickelnde </w:t>
            </w:r>
            <w:r w:rsidRPr="007B0456">
              <w:rPr>
                <w:u w:val="single"/>
              </w:rPr>
              <w:t>Kompetenzen:</w:t>
            </w:r>
          </w:p>
          <w:p w14:paraId="522B46AF" w14:textId="77777777" w:rsidR="00494DE7" w:rsidRPr="005120ED" w:rsidRDefault="00E0599A" w:rsidP="00F15230">
            <w:pPr>
              <w:rPr>
                <w:i/>
              </w:rPr>
            </w:pPr>
            <w:r w:rsidRPr="005120ED">
              <w:rPr>
                <w:i/>
              </w:rPr>
              <w:t>Fachlehrplan:</w:t>
            </w:r>
          </w:p>
          <w:p w14:paraId="32287FD2" w14:textId="46C4DA82" w:rsidR="009901E9" w:rsidRPr="007B0456" w:rsidRDefault="00407AE7" w:rsidP="00147C79">
            <w:r>
              <w:t xml:space="preserve">Erkenntnisse gewinnen: </w:t>
            </w:r>
            <w:r w:rsidR="00CD434C" w:rsidRPr="00CD434C">
              <w:t>selbstständig Experimente zur Untersuchung der Eigenschaften und Wirkungen von Strahlung planen und auswerten</w:t>
            </w:r>
            <w:r w:rsidR="00CD434C">
              <w:t xml:space="preserve"> </w:t>
            </w:r>
            <w:r w:rsidR="00CD434C" w:rsidRPr="00CD434C">
              <w:t>oder</w:t>
            </w:r>
            <w:r w:rsidR="00CD434C">
              <w:t xml:space="preserve"> </w:t>
            </w:r>
            <w:r w:rsidR="00CD434C" w:rsidRPr="00CD434C">
              <w:t>selbständig Computersimulationen durchführen und auswerte</w:t>
            </w:r>
            <w:r w:rsidR="00CD434C">
              <w:t>n</w:t>
            </w:r>
          </w:p>
        </w:tc>
      </w:tr>
      <w:tr w:rsidR="00800B33" w:rsidRPr="007B0456" w14:paraId="15574C97" w14:textId="77777777" w:rsidTr="00800B33">
        <w:trPr>
          <w:trHeight w:val="1897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565888" w14:textId="77777777" w:rsidR="00800B33" w:rsidRPr="005120ED" w:rsidRDefault="00800B33" w:rsidP="00800B33">
            <w:pPr>
              <w:rPr>
                <w:i/>
              </w:rPr>
            </w:pPr>
            <w:r w:rsidRPr="005120ED">
              <w:rPr>
                <w:i/>
              </w:rPr>
              <w:t>Grundsatzband:</w:t>
            </w:r>
          </w:p>
          <w:p w14:paraId="138F1341" w14:textId="77777777" w:rsidR="00800B33" w:rsidRPr="009A324E" w:rsidRDefault="00800B33" w:rsidP="00800B33">
            <w:r w:rsidRPr="009A324E">
              <w:t xml:space="preserve">Lernkompetenz: </w:t>
            </w:r>
          </w:p>
          <w:p w14:paraId="0CAE49F1" w14:textId="72E260C7" w:rsidR="00800B33" w:rsidRPr="007B0456" w:rsidRDefault="00800B33" w:rsidP="00800B33">
            <w:pPr>
              <w:rPr>
                <w:u w:val="single"/>
              </w:rPr>
            </w:pPr>
            <w:r>
              <w:t xml:space="preserve">Die Lernenden </w:t>
            </w:r>
            <w:r w:rsidRPr="00407AE7">
              <w:t>sollen</w:t>
            </w:r>
            <w:r>
              <w:t xml:space="preserve"> </w:t>
            </w:r>
            <w:r w:rsidRPr="00407AE7">
              <w:t>in</w:t>
            </w:r>
            <w:r>
              <w:t xml:space="preserve"> </w:t>
            </w:r>
            <w:r w:rsidRPr="00407AE7">
              <w:t>der</w:t>
            </w:r>
            <w:r>
              <w:t xml:space="preserve"> </w:t>
            </w:r>
            <w:r w:rsidRPr="00407AE7">
              <w:t>Lage</w:t>
            </w:r>
            <w:r>
              <w:t xml:space="preserve"> </w:t>
            </w:r>
            <w:r w:rsidRPr="00407AE7">
              <w:t>se</w:t>
            </w:r>
            <w:r>
              <w:t>in, sachgerecht, situationsbe</w:t>
            </w:r>
            <w:r w:rsidRPr="00407AE7">
              <w:t>zogen</w:t>
            </w:r>
            <w:r>
              <w:t xml:space="preserve"> </w:t>
            </w:r>
            <w:r w:rsidRPr="00407AE7">
              <w:t>und</w:t>
            </w:r>
            <w:r>
              <w:t xml:space="preserve"> </w:t>
            </w:r>
            <w:r w:rsidRPr="00407AE7">
              <w:t>selbstständig</w:t>
            </w:r>
            <w:r>
              <w:t xml:space="preserve"> </w:t>
            </w:r>
            <w:r w:rsidRPr="00407AE7">
              <w:t>unterschiedlich</w:t>
            </w:r>
            <w:r>
              <w:t>e Lern- und Wirklichkeits</w:t>
            </w:r>
            <w:r w:rsidRPr="00407AE7">
              <w:t>bereiche</w:t>
            </w:r>
            <w:r>
              <w:t xml:space="preserve"> </w:t>
            </w:r>
            <w:r w:rsidRPr="00407AE7">
              <w:t>zu</w:t>
            </w:r>
            <w:r>
              <w:t xml:space="preserve"> </w:t>
            </w:r>
            <w:r w:rsidRPr="00407AE7">
              <w:t>erschließen</w:t>
            </w:r>
            <w:r>
              <w:t xml:space="preserve"> </w:t>
            </w:r>
            <w:r w:rsidRPr="00407AE7">
              <w:t>und</w:t>
            </w:r>
            <w:r>
              <w:t xml:space="preserve"> </w:t>
            </w:r>
            <w:r w:rsidRPr="00407AE7">
              <w:t>zur</w:t>
            </w:r>
            <w:r>
              <w:t xml:space="preserve"> </w:t>
            </w:r>
            <w:r w:rsidRPr="00407AE7">
              <w:t>Problemlösung</w:t>
            </w:r>
            <w:r>
              <w:t xml:space="preserve"> </w:t>
            </w:r>
            <w:r w:rsidRPr="00407AE7">
              <w:t>zu</w:t>
            </w:r>
            <w:r>
              <w:t xml:space="preserve"> </w:t>
            </w:r>
            <w:r w:rsidRPr="00407AE7">
              <w:t>nutzen.</w:t>
            </w:r>
          </w:p>
        </w:tc>
      </w:tr>
      <w:tr w:rsidR="009901E9" w:rsidRPr="007B0456" w14:paraId="0D14E0AD" w14:textId="77777777" w:rsidTr="00800B33"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340CAE" w14:textId="77777777" w:rsidR="009901E9" w:rsidRPr="007B0456" w:rsidRDefault="009901E9" w:rsidP="00F15230">
            <w:pPr>
              <w:rPr>
                <w:u w:val="single"/>
              </w:rPr>
            </w:pPr>
            <w:r w:rsidRPr="007B0456">
              <w:rPr>
                <w:u w:val="single"/>
              </w:rPr>
              <w:t>Bezug zu grundlegenden Wissensbeständen:</w:t>
            </w:r>
          </w:p>
          <w:p w14:paraId="65D73B90" w14:textId="5000251E" w:rsidR="009901E9" w:rsidRPr="007B0456" w:rsidRDefault="00D82B83" w:rsidP="00F15230">
            <w:proofErr w:type="spellStart"/>
            <w:r w:rsidRPr="00D82B83">
              <w:t>Hertz’sche</w:t>
            </w:r>
            <w:proofErr w:type="spellEnd"/>
            <w:r w:rsidRPr="00D82B83">
              <w:t xml:space="preserve"> Wellen</w:t>
            </w:r>
            <w:r>
              <w:t xml:space="preserve"> </w:t>
            </w:r>
            <w:r w:rsidRPr="00D82B83">
              <w:t>(auch Mikrowellen, Mobilfunk, WLAN</w:t>
            </w:r>
            <w:r>
              <w:t>)</w:t>
            </w:r>
          </w:p>
        </w:tc>
      </w:tr>
      <w:tr w:rsidR="009901E9" w:rsidRPr="007B0456" w14:paraId="1A83BEE5" w14:textId="77777777" w:rsidTr="00800B33">
        <w:tc>
          <w:tcPr>
            <w:tcW w:w="9639" w:type="dxa"/>
            <w:gridSpan w:val="2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14:paraId="74FC0CC2" w14:textId="3303238D" w:rsidR="009901E9" w:rsidRDefault="009901E9" w:rsidP="00F15230">
            <w:pPr>
              <w:rPr>
                <w:b/>
              </w:rPr>
            </w:pPr>
          </w:p>
          <w:p w14:paraId="34F16717" w14:textId="3FEA2E4A" w:rsidR="00800B33" w:rsidRPr="00800B33" w:rsidRDefault="00800B33" w:rsidP="00800B33">
            <w:pPr>
              <w:pStyle w:val="Listenabsatz"/>
              <w:pageBreakBefore/>
              <w:numPr>
                <w:ilvl w:val="0"/>
                <w:numId w:val="22"/>
              </w:numPr>
              <w:ind w:left="321"/>
              <w:rPr>
                <w:b/>
                <w:noProof/>
                <w:sz w:val="24"/>
                <w:szCs w:val="24"/>
              </w:rPr>
            </w:pPr>
            <w:r w:rsidRPr="00800B33">
              <w:rPr>
                <w:b/>
                <w:noProof/>
                <w:sz w:val="24"/>
                <w:szCs w:val="24"/>
              </w:rPr>
              <w:t>Material</w:t>
            </w:r>
          </w:p>
          <w:p w14:paraId="076D2DAB" w14:textId="77777777" w:rsidR="005120ED" w:rsidRPr="00147C79" w:rsidRDefault="005120ED" w:rsidP="00800B33">
            <w:pPr>
              <w:pStyle w:val="Listenabsatz"/>
              <w:numPr>
                <w:ilvl w:val="0"/>
                <w:numId w:val="24"/>
              </w:numPr>
              <w:ind w:left="746"/>
              <w:rPr>
                <w:noProof/>
              </w:rPr>
            </w:pPr>
            <w:r w:rsidRPr="00147C79">
              <w:rPr>
                <w:noProof/>
              </w:rPr>
              <w:t>Auftrag (Arbeitsblatt)</w:t>
            </w:r>
          </w:p>
          <w:p w14:paraId="1A77B36A" w14:textId="027DB272" w:rsidR="005120ED" w:rsidRDefault="005120ED" w:rsidP="00800B33">
            <w:pPr>
              <w:pStyle w:val="Listenabsatz"/>
              <w:numPr>
                <w:ilvl w:val="0"/>
                <w:numId w:val="24"/>
              </w:numPr>
              <w:ind w:left="746"/>
              <w:rPr>
                <w:b/>
              </w:rPr>
            </w:pPr>
            <w:r>
              <w:t xml:space="preserve">Mobiltelefone/ </w:t>
            </w:r>
            <w:r>
              <w:rPr>
                <w:noProof/>
              </w:rPr>
              <w:t>Handys</w:t>
            </w:r>
            <w:r>
              <w:t xml:space="preserve"> (BYOD)</w:t>
            </w:r>
          </w:p>
          <w:p w14:paraId="0D0B33B9" w14:textId="77777777" w:rsidR="005120ED" w:rsidRDefault="005120ED" w:rsidP="00F15230">
            <w:pPr>
              <w:rPr>
                <w:b/>
              </w:rPr>
            </w:pPr>
          </w:p>
          <w:p w14:paraId="04826C5C" w14:textId="3602C4BE" w:rsidR="009901E9" w:rsidRPr="00800B33" w:rsidRDefault="009901E9" w:rsidP="00800B33">
            <w:pPr>
              <w:pStyle w:val="Listenabsatz"/>
              <w:numPr>
                <w:ilvl w:val="0"/>
                <w:numId w:val="22"/>
              </w:numPr>
              <w:ind w:left="321"/>
              <w:rPr>
                <w:b/>
                <w:sz w:val="24"/>
                <w:szCs w:val="24"/>
              </w:rPr>
            </w:pPr>
            <w:r w:rsidRPr="00800B33">
              <w:rPr>
                <w:b/>
                <w:sz w:val="24"/>
                <w:szCs w:val="24"/>
              </w:rPr>
              <w:t>Anregungen und Hinweise zum unterrichtlichen Einsatz</w:t>
            </w:r>
          </w:p>
        </w:tc>
      </w:tr>
      <w:tr w:rsidR="009901E9" w:rsidRPr="007B0456" w14:paraId="69373A95" w14:textId="77777777" w:rsidTr="00800B33">
        <w:tc>
          <w:tcPr>
            <w:tcW w:w="9639" w:type="dxa"/>
            <w:gridSpan w:val="2"/>
            <w:shd w:val="clear" w:color="auto" w:fill="FFFFFF" w:themeFill="background1"/>
          </w:tcPr>
          <w:p w14:paraId="4B3F16E1" w14:textId="0DBADD4B" w:rsidR="00FB1F6A" w:rsidRPr="00FB1F6A" w:rsidRDefault="00FB1F6A" w:rsidP="00800B33">
            <w:pPr>
              <w:jc w:val="both"/>
            </w:pPr>
            <w:r w:rsidRPr="00FB1F6A">
              <w:rPr>
                <w:b/>
              </w:rPr>
              <w:t>Vorwissen:</w:t>
            </w:r>
            <w:r w:rsidRPr="00FB1F6A">
              <w:t xml:space="preserve"> </w:t>
            </w:r>
            <w:r w:rsidR="00D82B83">
              <w:t xml:space="preserve">Die Schüler kennen die Eigenschaften </w:t>
            </w:r>
            <w:r w:rsidR="00E14800">
              <w:t>von Wellen</w:t>
            </w:r>
            <w:r w:rsidR="00D82B83">
              <w:t>.</w:t>
            </w:r>
            <w:r w:rsidR="00457606">
              <w:t xml:space="preserve"> Sie wissen, dass Wellen absorbiert und/oder reflektiert werden können.</w:t>
            </w:r>
            <w:r w:rsidR="00D82B83">
              <w:t xml:space="preserve"> Sie wissen, dass Strahlung mit Materie wechselwirken kann und dies zur Zerstörung </w:t>
            </w:r>
            <w:r w:rsidR="00E14800">
              <w:t>von Zellen im menschlichen Körper führen kann.</w:t>
            </w:r>
          </w:p>
          <w:p w14:paraId="789E984F" w14:textId="274CBF9D" w:rsidR="00FB1F6A" w:rsidRDefault="00FB1F6A" w:rsidP="00800B33">
            <w:pPr>
              <w:jc w:val="both"/>
            </w:pPr>
            <w:r w:rsidRPr="00FB1F6A">
              <w:rPr>
                <w:b/>
              </w:rPr>
              <w:t>Anforderung:</w:t>
            </w:r>
            <w:r w:rsidRPr="00FB1F6A">
              <w:t xml:space="preserve"> Die Schüler sollen</w:t>
            </w:r>
            <w:r w:rsidR="00147C79">
              <w:t xml:space="preserve"> in einer Kleingruppe (3 Personen)</w:t>
            </w:r>
            <w:r w:rsidRPr="00FB1F6A">
              <w:t xml:space="preserve"> d</w:t>
            </w:r>
            <w:r w:rsidR="000007B6">
              <w:t>i</w:t>
            </w:r>
            <w:r w:rsidRPr="00FB1F6A">
              <w:t>e</w:t>
            </w:r>
            <w:r w:rsidR="000007B6">
              <w:t xml:space="preserve"> Abschwächung von Mobilfunkstrahlung</w:t>
            </w:r>
            <w:r w:rsidRPr="00FB1F6A">
              <w:t xml:space="preserve"> </w:t>
            </w:r>
            <w:r w:rsidR="00147C79">
              <w:t xml:space="preserve">im Schulgebäude und auf dem Schulgelände </w:t>
            </w:r>
            <w:r w:rsidR="000007B6">
              <w:t>ergründen, indem sie den Mobilfunkempfang an verschiedenen Orten messen</w:t>
            </w:r>
            <w:r w:rsidR="000A01C1">
              <w:t xml:space="preserve"> und vergleichen. </w:t>
            </w:r>
            <w:r w:rsidR="00741AB1">
              <w:t xml:space="preserve">Dazu nutzen sie ihre eigenen Geräte </w:t>
            </w:r>
            <w:r w:rsidR="00F4063F">
              <w:t xml:space="preserve">(Handys) </w:t>
            </w:r>
            <w:r w:rsidR="00741AB1">
              <w:t xml:space="preserve">und lesen auf dem Display die „Balkenanzeige“ ab. </w:t>
            </w:r>
            <w:r w:rsidR="000A01C1">
              <w:t xml:space="preserve">Im Anschluss </w:t>
            </w:r>
            <w:r w:rsidR="000007B6">
              <w:t>soll</w:t>
            </w:r>
            <w:r w:rsidR="000A01C1">
              <w:t xml:space="preserve"> </w:t>
            </w:r>
            <w:r w:rsidR="00147C79">
              <w:t>jeder Lernende</w:t>
            </w:r>
            <w:r w:rsidR="000007B6">
              <w:t xml:space="preserve"> </w:t>
            </w:r>
            <w:r w:rsidR="000A01C1">
              <w:t>de</w:t>
            </w:r>
            <w:r w:rsidR="00147C79">
              <w:t>n</w:t>
            </w:r>
            <w:r w:rsidR="000007B6">
              <w:t xml:space="preserve"> Zusammenhang zwischen </w:t>
            </w:r>
            <w:r w:rsidR="00147C79">
              <w:t>schlechtem Handyempfang</w:t>
            </w:r>
            <w:r w:rsidR="000007B6">
              <w:t xml:space="preserve"> und </w:t>
            </w:r>
            <w:r w:rsidR="00147C79">
              <w:t>d</w:t>
            </w:r>
            <w:r w:rsidR="000007B6">
              <w:t>er</w:t>
            </w:r>
            <w:r w:rsidR="00147C79">
              <w:t xml:space="preserve"> Gefahr einer</w:t>
            </w:r>
            <w:r w:rsidR="000007B6">
              <w:t xml:space="preserve"> </w:t>
            </w:r>
            <w:r w:rsidR="00147C79">
              <w:t xml:space="preserve">möglichen </w:t>
            </w:r>
            <w:r w:rsidR="000007B6">
              <w:t xml:space="preserve">Schädigung des Gewebes </w:t>
            </w:r>
            <w:r w:rsidR="00F4063F">
              <w:t>durch stär</w:t>
            </w:r>
            <w:r w:rsidR="00147C79">
              <w:t>ke</w:t>
            </w:r>
            <w:r w:rsidR="00F4063F">
              <w:t>re</w:t>
            </w:r>
            <w:r w:rsidR="00147C79">
              <w:t xml:space="preserve">n Mobilfunk </w:t>
            </w:r>
            <w:r w:rsidR="000007B6">
              <w:t>herstell</w:t>
            </w:r>
            <w:r w:rsidR="00147C79">
              <w:t>en und damit angeregt werden</w:t>
            </w:r>
            <w:r w:rsidR="000007B6">
              <w:t xml:space="preserve">, </w:t>
            </w:r>
            <w:r w:rsidR="00147C79">
              <w:t xml:space="preserve">eigenes Verhalten im Umgang mit dem Smartphon zu reflektieren und auch die Aufbewahrungs- und </w:t>
            </w:r>
            <w:proofErr w:type="spellStart"/>
            <w:r w:rsidR="00147C79">
              <w:t>Ladeorte</w:t>
            </w:r>
            <w:proofErr w:type="spellEnd"/>
            <w:r w:rsidR="000007B6">
              <w:t xml:space="preserve"> des </w:t>
            </w:r>
            <w:r w:rsidR="00147C79">
              <w:t xml:space="preserve">eigenen </w:t>
            </w:r>
            <w:r w:rsidR="000007B6">
              <w:t>Handys</w:t>
            </w:r>
            <w:r w:rsidR="00147C79">
              <w:t xml:space="preserve"> zu überdenken</w:t>
            </w:r>
            <w:r w:rsidR="000007B6">
              <w:t>.</w:t>
            </w:r>
            <w:r w:rsidR="00741AB1">
              <w:t xml:space="preserve"> Dafür werden Regeln formuliert.</w:t>
            </w:r>
          </w:p>
          <w:p w14:paraId="660DC2F6" w14:textId="77777777" w:rsidR="00741AB1" w:rsidRDefault="00741AB1" w:rsidP="00741AB1">
            <w:r w:rsidRPr="00FB1F6A">
              <w:rPr>
                <w:b/>
              </w:rPr>
              <w:t>Zeitumfang:</w:t>
            </w:r>
            <w:r>
              <w:t xml:space="preserve"> zwei Unterrichtsstunden </w:t>
            </w:r>
          </w:p>
          <w:p w14:paraId="774619FD" w14:textId="38FD3900" w:rsidR="00FB1F6A" w:rsidRPr="00FB1F6A" w:rsidRDefault="00741AB1" w:rsidP="00741AB1">
            <w:r w:rsidRPr="00741AB1">
              <w:rPr>
                <w:b/>
              </w:rPr>
              <w:t>Sozialform:</w:t>
            </w:r>
            <w:r w:rsidRPr="00084A37">
              <w:t xml:space="preserve"> Einzelarbeit/Partnerarbeit</w:t>
            </w:r>
          </w:p>
          <w:p w14:paraId="6F74A6FD" w14:textId="6E9C63FD" w:rsidR="009901E9" w:rsidRPr="00F4063F" w:rsidRDefault="00FB1F6A" w:rsidP="00800B33">
            <w:pPr>
              <w:jc w:val="both"/>
            </w:pPr>
            <w:r w:rsidRPr="00FB1F6A">
              <w:rPr>
                <w:b/>
              </w:rPr>
              <w:t>Ausblick:</w:t>
            </w:r>
            <w:r>
              <w:t xml:space="preserve"> </w:t>
            </w:r>
            <w:r w:rsidR="003D505D">
              <w:t xml:space="preserve">Um die flächendeckende Versorgung mit Mobilfunk zu gewährleisten, werden von verschiedenen Generationen des Mobilfunks auch verschiedene Frequenzbänder genutzt. </w:t>
            </w:r>
            <w:r w:rsidR="00D86F70">
              <w:t xml:space="preserve">Wird das im Unterricht thematisiert, </w:t>
            </w:r>
            <w:r w:rsidR="003D505D">
              <w:t xml:space="preserve">kann auf die Wechselwirkungsfähigkeit verschiedener Frequenzbereiche eingegangen werden. </w:t>
            </w:r>
          </w:p>
        </w:tc>
      </w:tr>
      <w:tr w:rsidR="009901E9" w:rsidRPr="007B0456" w14:paraId="10D552DC" w14:textId="77777777" w:rsidTr="00800B33">
        <w:tc>
          <w:tcPr>
            <w:tcW w:w="9639" w:type="dxa"/>
            <w:gridSpan w:val="2"/>
            <w:shd w:val="clear" w:color="auto" w:fill="FFFFFF" w:themeFill="background1"/>
          </w:tcPr>
          <w:p w14:paraId="06CF5DF1" w14:textId="3317C3FC" w:rsidR="00084A37" w:rsidRPr="00800B33" w:rsidRDefault="00084A37" w:rsidP="00800B33">
            <w:pPr>
              <w:pStyle w:val="Listenabsatz"/>
              <w:pageBreakBefore/>
              <w:numPr>
                <w:ilvl w:val="0"/>
                <w:numId w:val="22"/>
              </w:numPr>
              <w:ind w:left="397" w:hanging="357"/>
              <w:rPr>
                <w:b/>
                <w:sz w:val="24"/>
                <w:szCs w:val="24"/>
              </w:rPr>
            </w:pPr>
            <w:r w:rsidRPr="00800B33">
              <w:rPr>
                <w:b/>
                <w:sz w:val="24"/>
                <w:szCs w:val="24"/>
              </w:rPr>
              <w:t>Mögliche Probleme der Umsetzung</w:t>
            </w:r>
          </w:p>
          <w:p w14:paraId="5C53AB09" w14:textId="18091879" w:rsidR="009901E9" w:rsidRPr="00C66278" w:rsidRDefault="00741AB1" w:rsidP="00800B33">
            <w:pPr>
              <w:pStyle w:val="Listenabsatz"/>
              <w:numPr>
                <w:ilvl w:val="0"/>
                <w:numId w:val="24"/>
              </w:numPr>
              <w:ind w:left="746"/>
            </w:pPr>
            <w:r>
              <w:t xml:space="preserve">zu guter Mobilfunkempfang oder gar </w:t>
            </w:r>
            <w:r w:rsidR="002133C1" w:rsidRPr="00C66278">
              <w:t>kein Mobilfunkempfang</w:t>
            </w:r>
          </w:p>
        </w:tc>
      </w:tr>
      <w:tr w:rsidR="009901E9" w:rsidRPr="007B0456" w14:paraId="2894D3C4" w14:textId="77777777" w:rsidTr="00800B33"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7D0E2F9" w14:textId="04299904" w:rsidR="00741AB1" w:rsidRPr="00800B33" w:rsidRDefault="009901E9" w:rsidP="00800B33">
            <w:pPr>
              <w:pStyle w:val="Listenabsatz"/>
              <w:numPr>
                <w:ilvl w:val="0"/>
                <w:numId w:val="22"/>
              </w:numPr>
              <w:ind w:left="371"/>
              <w:rPr>
                <w:b/>
                <w:sz w:val="24"/>
                <w:szCs w:val="24"/>
              </w:rPr>
            </w:pPr>
            <w:r w:rsidRPr="00800B33">
              <w:rPr>
                <w:b/>
                <w:sz w:val="24"/>
                <w:szCs w:val="24"/>
              </w:rPr>
              <w:t xml:space="preserve">Variationsmöglichkeiten </w:t>
            </w:r>
          </w:p>
          <w:p w14:paraId="783BABEA" w14:textId="4EC219D0" w:rsidR="009901E9" w:rsidRDefault="00741AB1" w:rsidP="00741AB1">
            <w:r w:rsidRPr="00741AB1">
              <w:t>In einer</w:t>
            </w:r>
            <w:r>
              <w:rPr>
                <w:b/>
              </w:rPr>
              <w:t xml:space="preserve"> </w:t>
            </w:r>
            <w:r w:rsidRPr="00741AB1">
              <w:t>längerfristigen Haus</w:t>
            </w:r>
            <w:r>
              <w:t>au</w:t>
            </w:r>
            <w:r w:rsidRPr="00741AB1">
              <w:t>fgabe</w:t>
            </w:r>
            <w:r>
              <w:t xml:space="preserve"> kann auch der</w:t>
            </w:r>
            <w:r w:rsidR="000A01C1">
              <w:t xml:space="preserve"> Zusammenhang zwischen schlechtem Wetter </w:t>
            </w:r>
            <w:r>
              <w:t>und schlechtem Handyempfang beobachtet werden</w:t>
            </w:r>
            <w:r w:rsidR="004762D1">
              <w:t xml:space="preserve"> (siehe Material)</w:t>
            </w:r>
            <w:r w:rsidR="00F4063F">
              <w:t>.</w:t>
            </w:r>
          </w:p>
          <w:p w14:paraId="62D88C8C" w14:textId="00CBE916" w:rsidR="001E181D" w:rsidRPr="00C66278" w:rsidRDefault="001E181D" w:rsidP="00741AB1">
            <w:pPr>
              <w:rPr>
                <w:b/>
              </w:rPr>
            </w:pPr>
          </w:p>
        </w:tc>
      </w:tr>
      <w:tr w:rsidR="00540894" w:rsidRPr="00540894" w14:paraId="1AB1CA9D" w14:textId="77777777" w:rsidTr="00800B33">
        <w:trPr>
          <w:gridAfter w:val="1"/>
          <w:wAfter w:w="425" w:type="dxa"/>
        </w:trPr>
        <w:tc>
          <w:tcPr>
            <w:tcW w:w="9214" w:type="dxa"/>
            <w:shd w:val="clear" w:color="auto" w:fill="FFFFFF" w:themeFill="background1"/>
          </w:tcPr>
          <w:p w14:paraId="5EF3FB0C" w14:textId="01A84859" w:rsidR="00540894" w:rsidRPr="00800B33" w:rsidRDefault="001E181D" w:rsidP="00800B33">
            <w:pPr>
              <w:pStyle w:val="Listenabsatz"/>
              <w:numPr>
                <w:ilvl w:val="0"/>
                <w:numId w:val="22"/>
              </w:numPr>
              <w:ind w:left="371"/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800B33">
              <w:rPr>
                <w:rFonts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905384A" wp14:editId="13D63EFC">
                  <wp:simplePos x="0" y="0"/>
                  <wp:positionH relativeFrom="column">
                    <wp:posOffset>4772841</wp:posOffset>
                  </wp:positionH>
                  <wp:positionV relativeFrom="paragraph">
                    <wp:posOffset>12700</wp:posOffset>
                  </wp:positionV>
                  <wp:extent cx="1006475" cy="1006475"/>
                  <wp:effectExtent l="0" t="0" r="3175" b="3175"/>
                  <wp:wrapThrough wrapText="bothSides">
                    <wp:wrapPolygon edited="0">
                      <wp:start x="0" y="0"/>
                      <wp:lineTo x="0" y="21259"/>
                      <wp:lineTo x="21259" y="21259"/>
                      <wp:lineTo x="21259" y="0"/>
                      <wp:lineTo x="0" y="0"/>
                    </wp:wrapPolygon>
                  </wp:wrapThrough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qrcode (2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006475" cy="100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0894" w:rsidRPr="00800B33">
              <w:rPr>
                <w:b/>
                <w:sz w:val="24"/>
                <w:szCs w:val="24"/>
              </w:rPr>
              <w:t>Weiterführende</w:t>
            </w:r>
            <w:r w:rsidR="00540894" w:rsidRPr="00800B33">
              <w:rPr>
                <w:rFonts w:eastAsia="Calibri" w:cs="Arial"/>
                <w:b/>
                <w:iCs/>
                <w:sz w:val="24"/>
                <w:szCs w:val="24"/>
              </w:rPr>
              <w:t xml:space="preserve"> Hinweise/Links</w:t>
            </w:r>
          </w:p>
          <w:p w14:paraId="4D4DB53A" w14:textId="5DA9DAB3" w:rsidR="009E7353" w:rsidRPr="009E7353" w:rsidRDefault="009E7353" w:rsidP="00540894">
            <w:pPr>
              <w:spacing w:after="160"/>
              <w:rPr>
                <w:rFonts w:ascii="Calibri" w:eastAsia="Calibri" w:hAnsi="Calibri" w:cs="Arial"/>
                <w:iCs/>
              </w:rPr>
            </w:pPr>
            <w:r w:rsidRPr="009E7353">
              <w:rPr>
                <w:rFonts w:ascii="Calibri" w:eastAsia="Calibri" w:hAnsi="Calibri" w:cs="Arial"/>
                <w:iCs/>
              </w:rPr>
              <w:t>Weiterführende Materialien finden Sie in der Mediathek des</w:t>
            </w:r>
            <w:r w:rsidR="004762D1">
              <w:rPr>
                <w:rFonts w:ascii="Calibri" w:eastAsia="Calibri" w:hAnsi="Calibri" w:cs="Arial"/>
                <w:iCs/>
              </w:rPr>
              <w:t xml:space="preserve"> Bundesamtes für Strahlenschutz:</w:t>
            </w:r>
          </w:p>
          <w:p w14:paraId="243AD7E3" w14:textId="6B62C118" w:rsidR="00540894" w:rsidRDefault="00577C5B" w:rsidP="002A3F24">
            <w:pPr>
              <w:spacing w:before="120" w:line="276" w:lineRule="auto"/>
              <w:rPr>
                <w:rFonts w:asciiTheme="minorHAnsi" w:hAnsiTheme="minorHAnsi" w:cs="Arial"/>
              </w:rPr>
            </w:pPr>
            <w:hyperlink r:id="rId10" w:history="1">
              <w:r w:rsidR="009E7353" w:rsidRPr="003D2345">
                <w:rPr>
                  <w:rStyle w:val="Hyperlink"/>
                  <w:rFonts w:asciiTheme="minorHAnsi" w:hAnsiTheme="minorHAnsi" w:cs="Arial"/>
                </w:rPr>
                <w:t>https://www.bfs.de/DE/mediathek/unterrichtsmaterial/unterrichtsmaterial_node.html</w:t>
              </w:r>
            </w:hyperlink>
            <w:r w:rsidR="009E7353">
              <w:rPr>
                <w:rFonts w:asciiTheme="minorHAnsi" w:hAnsiTheme="minorHAnsi" w:cs="Arial"/>
              </w:rPr>
              <w:t xml:space="preserve"> </w:t>
            </w:r>
          </w:p>
          <w:p w14:paraId="3A4D4C87" w14:textId="77777777" w:rsidR="001E181D" w:rsidRDefault="001E181D" w:rsidP="002A3F24">
            <w:pPr>
              <w:spacing w:before="120" w:line="276" w:lineRule="auto"/>
              <w:rPr>
                <w:rFonts w:asciiTheme="minorHAnsi" w:hAnsiTheme="minorHAnsi" w:cs="Arial"/>
              </w:rPr>
            </w:pPr>
          </w:p>
          <w:p w14:paraId="4608DFBC" w14:textId="121A72A1" w:rsidR="00F4063F" w:rsidRDefault="00D86F70" w:rsidP="002A3F24">
            <w:pPr>
              <w:spacing w:before="120"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381B3BC3" wp14:editId="5CD96A37">
                  <wp:simplePos x="0" y="0"/>
                  <wp:positionH relativeFrom="column">
                    <wp:posOffset>4732564</wp:posOffset>
                  </wp:positionH>
                  <wp:positionV relativeFrom="paragraph">
                    <wp:posOffset>54338</wp:posOffset>
                  </wp:positionV>
                  <wp:extent cx="1050290" cy="1050290"/>
                  <wp:effectExtent l="0" t="0" r="0" b="0"/>
                  <wp:wrapThrough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hrough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qrcode (1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63F">
              <w:rPr>
                <w:rFonts w:asciiTheme="minorHAnsi" w:hAnsiTheme="minorHAnsi" w:cs="Arial"/>
              </w:rPr>
              <w:t xml:space="preserve">Hier ist auch eine Broschüre (2014) veröffentlicht: </w:t>
            </w:r>
            <w:r w:rsidR="00F4063F" w:rsidRPr="001E181D">
              <w:rPr>
                <w:rFonts w:asciiTheme="minorHAnsi" w:hAnsiTheme="minorHAnsi" w:cs="Arial"/>
                <w:b/>
              </w:rPr>
              <w:t>Unterrichtsmaterial Mobilfunk</w:t>
            </w:r>
            <w:r w:rsidR="00F4063F">
              <w:rPr>
                <w:rFonts w:asciiTheme="minorHAnsi" w:hAnsiTheme="minorHAnsi" w:cs="Arial"/>
              </w:rPr>
              <w:t xml:space="preserve"> ab Klasse 5</w:t>
            </w:r>
          </w:p>
          <w:p w14:paraId="28F36819" w14:textId="7CF3052C" w:rsidR="00F4063F" w:rsidRDefault="00577C5B" w:rsidP="002A3F24">
            <w:pPr>
              <w:spacing w:before="120" w:line="276" w:lineRule="auto"/>
              <w:rPr>
                <w:rFonts w:asciiTheme="minorHAnsi" w:hAnsiTheme="minorHAnsi" w:cs="Arial"/>
              </w:rPr>
            </w:pPr>
            <w:hyperlink r:id="rId12" w:history="1">
              <w:r w:rsidR="00F4063F" w:rsidRPr="00364965">
                <w:rPr>
                  <w:rStyle w:val="Hyperlink"/>
                  <w:rFonts w:asciiTheme="minorHAnsi" w:hAnsiTheme="minorHAnsi" w:cs="Arial"/>
                </w:rPr>
                <w:t>https://www.bfs.de/SharedDocs/Downloads/BfS/DE/broschueren/unterricht-mobilfunk/mobilfunk-unterricht1.pdf?__blob=publicationFile&amp;v=4</w:t>
              </w:r>
            </w:hyperlink>
          </w:p>
          <w:p w14:paraId="5D016CA4" w14:textId="6D90279A" w:rsidR="00F4063F" w:rsidRPr="00540894" w:rsidRDefault="00F4063F" w:rsidP="002A3F24">
            <w:pPr>
              <w:spacing w:before="120" w:line="276" w:lineRule="auto"/>
              <w:rPr>
                <w:rFonts w:asciiTheme="minorHAnsi" w:hAnsiTheme="minorHAnsi" w:cs="Arial"/>
              </w:rPr>
            </w:pPr>
          </w:p>
        </w:tc>
      </w:tr>
      <w:tr w:rsidR="00540894" w:rsidRPr="00540894" w14:paraId="0440EC85" w14:textId="77777777" w:rsidTr="00800B33">
        <w:trPr>
          <w:gridAfter w:val="1"/>
          <w:wAfter w:w="425" w:type="dxa"/>
        </w:trPr>
        <w:tc>
          <w:tcPr>
            <w:tcW w:w="9214" w:type="dxa"/>
            <w:shd w:val="clear" w:color="auto" w:fill="FFFFFF" w:themeFill="background1"/>
          </w:tcPr>
          <w:p w14:paraId="31B6A641" w14:textId="1CE1ECFC" w:rsidR="00540894" w:rsidRPr="00577C5B" w:rsidRDefault="00540894" w:rsidP="00577C5B">
            <w:pPr>
              <w:pStyle w:val="Listenabsatz"/>
              <w:numPr>
                <w:ilvl w:val="0"/>
                <w:numId w:val="22"/>
              </w:numPr>
              <w:spacing w:line="240" w:lineRule="auto"/>
              <w:ind w:left="368" w:hanging="357"/>
              <w:rPr>
                <w:rFonts w:eastAsia="Calibri" w:cs="Arial"/>
                <w:b/>
                <w:iCs/>
                <w:sz w:val="24"/>
                <w:szCs w:val="24"/>
              </w:rPr>
            </w:pPr>
            <w:r w:rsidRPr="00577C5B">
              <w:rPr>
                <w:b/>
                <w:sz w:val="24"/>
                <w:szCs w:val="24"/>
              </w:rPr>
              <w:t>Quellenverzeichnis</w:t>
            </w:r>
          </w:p>
          <w:p w14:paraId="4714CE73" w14:textId="5C80BA40" w:rsidR="00540894" w:rsidRPr="00540894" w:rsidRDefault="00540894" w:rsidP="00577C5B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Style w:val="Tabellenraster1"/>
        <w:tblW w:w="9214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5103"/>
      </w:tblGrid>
      <w:tr w:rsidR="00577C5B" w:rsidRPr="00540894" w14:paraId="22AD4128" w14:textId="77777777" w:rsidTr="00577C5B">
        <w:tc>
          <w:tcPr>
            <w:tcW w:w="1843" w:type="dxa"/>
            <w:shd w:val="clear" w:color="auto" w:fill="FFFFFF" w:themeFill="background1"/>
          </w:tcPr>
          <w:p w14:paraId="49BE5C85" w14:textId="77777777" w:rsidR="00577C5B" w:rsidRPr="00577C5B" w:rsidRDefault="00577C5B" w:rsidP="00577C5B">
            <w:pPr>
              <w:spacing w:before="120" w:after="120"/>
              <w:jc w:val="both"/>
              <w:rPr>
                <w:rFonts w:cs="Arial"/>
              </w:rPr>
            </w:pPr>
            <w:r w:rsidRPr="00577C5B">
              <w:rPr>
                <w:rFonts w:cs="Arial"/>
              </w:rPr>
              <w:t>Seite</w:t>
            </w:r>
          </w:p>
        </w:tc>
        <w:tc>
          <w:tcPr>
            <w:tcW w:w="2268" w:type="dxa"/>
            <w:shd w:val="clear" w:color="auto" w:fill="FFFFFF" w:themeFill="background1"/>
          </w:tcPr>
          <w:p w14:paraId="26F0289E" w14:textId="77777777" w:rsidR="00577C5B" w:rsidRPr="00577C5B" w:rsidRDefault="00577C5B" w:rsidP="00577C5B">
            <w:pPr>
              <w:spacing w:before="120" w:after="120"/>
              <w:jc w:val="both"/>
              <w:rPr>
                <w:rFonts w:cs="Arial"/>
              </w:rPr>
            </w:pPr>
            <w:r w:rsidRPr="00577C5B">
              <w:rPr>
                <w:rFonts w:cs="Arial"/>
              </w:rPr>
              <w:t>Name der Quelle</w:t>
            </w:r>
          </w:p>
        </w:tc>
        <w:tc>
          <w:tcPr>
            <w:tcW w:w="5103" w:type="dxa"/>
            <w:shd w:val="clear" w:color="auto" w:fill="FFFFFF" w:themeFill="background1"/>
          </w:tcPr>
          <w:p w14:paraId="6653081E" w14:textId="4FBDA2C6" w:rsidR="00577C5B" w:rsidRPr="00577C5B" w:rsidRDefault="00577C5B" w:rsidP="00577C5B">
            <w:pPr>
              <w:spacing w:before="120" w:after="120"/>
              <w:rPr>
                <w:rFonts w:cs="Arial"/>
              </w:rPr>
            </w:pPr>
            <w:r w:rsidRPr="00577C5B">
              <w:rPr>
                <w:rFonts w:cs="Arial"/>
              </w:rPr>
              <w:t>Ursprung (Link oder Werk)</w:t>
            </w:r>
          </w:p>
        </w:tc>
      </w:tr>
      <w:tr w:rsidR="00577C5B" w:rsidRPr="00540894" w14:paraId="692314B6" w14:textId="77777777" w:rsidTr="00577C5B">
        <w:tc>
          <w:tcPr>
            <w:tcW w:w="1843" w:type="dxa"/>
            <w:shd w:val="clear" w:color="auto" w:fill="FFFFFF" w:themeFill="background1"/>
          </w:tcPr>
          <w:p w14:paraId="6BA96C87" w14:textId="01FC0D59" w:rsidR="00577C5B" w:rsidRPr="00577C5B" w:rsidRDefault="00577C5B" w:rsidP="00577C5B">
            <w:pPr>
              <w:spacing w:before="120" w:after="120"/>
              <w:jc w:val="both"/>
              <w:rPr>
                <w:rFonts w:cs="Arial"/>
              </w:rPr>
            </w:pPr>
            <w:r w:rsidRPr="00577C5B">
              <w:rPr>
                <w:rFonts w:cs="Arial"/>
              </w:rPr>
              <w:t>Bild im Steckbrief</w:t>
            </w:r>
          </w:p>
        </w:tc>
        <w:tc>
          <w:tcPr>
            <w:tcW w:w="2268" w:type="dxa"/>
            <w:shd w:val="clear" w:color="auto" w:fill="FFFFFF" w:themeFill="background1"/>
          </w:tcPr>
          <w:p w14:paraId="5DB55E71" w14:textId="183B94D8" w:rsidR="00577C5B" w:rsidRPr="00577C5B" w:rsidRDefault="00577C5B" w:rsidP="00577C5B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11F5085E" w14:textId="61BFA142" w:rsidR="00577C5B" w:rsidRPr="00577C5B" w:rsidRDefault="00577C5B" w:rsidP="00577C5B">
            <w:pPr>
              <w:spacing w:before="120" w:after="120"/>
              <w:jc w:val="both"/>
              <w:rPr>
                <w:rFonts w:cs="Arial"/>
              </w:rPr>
            </w:pPr>
            <w:hyperlink r:id="rId13" w:history="1">
              <w:r w:rsidRPr="00577C5B">
                <w:rPr>
                  <w:rStyle w:val="Hyperlink"/>
                  <w:rFonts w:ascii="Arial" w:hAnsi="Arial" w:cs="Arial"/>
                </w:rPr>
                <w:t>https://www.pexels.com/de-de/foto/attraktiv-brille-brillen-damen-1000739/</w:t>
              </w:r>
            </w:hyperlink>
            <w:bookmarkStart w:id="0" w:name="_GoBack"/>
            <w:bookmarkEnd w:id="0"/>
          </w:p>
        </w:tc>
      </w:tr>
      <w:tr w:rsidR="00577C5B" w:rsidRPr="00540894" w14:paraId="0C406B32" w14:textId="77777777" w:rsidTr="00577C5B">
        <w:tc>
          <w:tcPr>
            <w:tcW w:w="1843" w:type="dxa"/>
            <w:shd w:val="clear" w:color="auto" w:fill="FFFFFF" w:themeFill="background1"/>
          </w:tcPr>
          <w:p w14:paraId="01DE8B00" w14:textId="77777777" w:rsidR="00577C5B" w:rsidRPr="00577C5B" w:rsidRDefault="00577C5B" w:rsidP="00577C5B">
            <w:pPr>
              <w:spacing w:before="120" w:after="120"/>
              <w:jc w:val="both"/>
              <w:rPr>
                <w:rFonts w:cs="Arial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1872AAF" w14:textId="4C5DE514" w:rsidR="00577C5B" w:rsidRPr="00577C5B" w:rsidRDefault="00577C5B" w:rsidP="00577C5B">
            <w:pPr>
              <w:spacing w:before="120" w:after="120"/>
              <w:rPr>
                <w:rFonts w:cs="Arial"/>
              </w:rPr>
            </w:pPr>
            <w:r w:rsidRPr="00577C5B">
              <w:rPr>
                <w:rFonts w:cs="Arial"/>
              </w:rPr>
              <w:t>Bundesamt für Strahlenschutz: Unterrichtsmaterial Mobilfunk ab Klasse 5</w:t>
            </w:r>
          </w:p>
        </w:tc>
        <w:tc>
          <w:tcPr>
            <w:tcW w:w="5103" w:type="dxa"/>
            <w:shd w:val="clear" w:color="auto" w:fill="FFFFFF" w:themeFill="background1"/>
          </w:tcPr>
          <w:p w14:paraId="497D5172" w14:textId="177EA0A7" w:rsidR="00577C5B" w:rsidRPr="00577C5B" w:rsidRDefault="00577C5B" w:rsidP="00577C5B">
            <w:pPr>
              <w:spacing w:before="120" w:after="120"/>
              <w:jc w:val="both"/>
              <w:rPr>
                <w:rFonts w:cs="Arial"/>
              </w:rPr>
            </w:pPr>
            <w:hyperlink r:id="rId14" w:history="1">
              <w:r w:rsidRPr="00577C5B">
                <w:rPr>
                  <w:rStyle w:val="Hyperlink"/>
                  <w:rFonts w:ascii="Arial" w:hAnsi="Arial" w:cs="Arial"/>
                </w:rPr>
                <w:t>https://www.bfs.de/SharedDocs/Downloads/BfS/DE/broschueren/unterricht-mobilfunk/mobilfunk-unterricht1.pdf?__blob=publicationFile&amp;v=4</w:t>
              </w:r>
            </w:hyperlink>
            <w:r w:rsidRPr="00577C5B">
              <w:rPr>
                <w:rFonts w:cs="Arial"/>
              </w:rPr>
              <w:t xml:space="preserve"> </w:t>
            </w:r>
          </w:p>
        </w:tc>
      </w:tr>
    </w:tbl>
    <w:p w14:paraId="66EC19B8" w14:textId="092B0536" w:rsidR="00540894" w:rsidRDefault="00540894"/>
    <w:sectPr w:rsidR="00540894" w:rsidSect="005120ED">
      <w:headerReference w:type="default" r:id="rId15"/>
      <w:footerReference w:type="default" r:id="rId16"/>
      <w:pgSz w:w="11906" w:h="16838"/>
      <w:pgMar w:top="1588" w:right="1134" w:bottom="1247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EA016F" w16cid:durableId="223613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0D4AF" w14:textId="77777777" w:rsidR="0027119B" w:rsidRDefault="0027119B" w:rsidP="00BE0FC0">
      <w:pPr>
        <w:spacing w:line="240" w:lineRule="auto"/>
      </w:pPr>
      <w:r>
        <w:separator/>
      </w:r>
    </w:p>
  </w:endnote>
  <w:endnote w:type="continuationSeparator" w:id="0">
    <w:p w14:paraId="4CD55597" w14:textId="77777777" w:rsidR="0027119B" w:rsidRDefault="0027119B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40239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A94D30B" w14:textId="77777777" w:rsidR="005120ED" w:rsidRPr="009F0882" w:rsidRDefault="005120ED" w:rsidP="005120ED">
        <w:pPr>
          <w:pStyle w:val="Fuzeile"/>
          <w:pBdr>
            <w:top w:val="single" w:sz="4" w:space="1" w:color="auto"/>
          </w:pBdr>
          <w:jc w:val="center"/>
          <w:rPr>
            <w:rFonts w:cs="Arial"/>
            <w:sz w:val="20"/>
            <w:szCs w:val="20"/>
          </w:rPr>
        </w:pPr>
        <w:r>
          <w:rPr>
            <w:rFonts w:cs="Arial"/>
            <w:sz w:val="18"/>
            <w:szCs w:val="18"/>
          </w:rPr>
          <w:t xml:space="preserve">Quelle: Bildungsserver Sachsen-Anhalt (http://www.bildung-lsa.de) | Lizenz: Creative </w:t>
        </w:r>
        <w:proofErr w:type="spellStart"/>
        <w:r>
          <w:rPr>
            <w:rFonts w:cs="Arial"/>
            <w:sz w:val="18"/>
            <w:szCs w:val="18"/>
          </w:rPr>
          <w:t>Commons</w:t>
        </w:r>
        <w:proofErr w:type="spellEnd"/>
        <w:r>
          <w:rPr>
            <w:rFonts w:cs="Arial"/>
            <w:sz w:val="18"/>
            <w:szCs w:val="18"/>
          </w:rPr>
          <w:t xml:space="preserve"> (CC BY-SA 3.0)</w:t>
        </w:r>
      </w:p>
      <w:p w14:paraId="19607A41" w14:textId="25DE4755" w:rsidR="00F15230" w:rsidRPr="005120ED" w:rsidRDefault="005120ED" w:rsidP="005120ED">
        <w:pPr>
          <w:pStyle w:val="Fuzeile"/>
          <w:spacing w:before="120"/>
          <w:jc w:val="center"/>
          <w:rPr>
            <w:sz w:val="20"/>
            <w:szCs w:val="20"/>
          </w:rPr>
        </w:pPr>
        <w:r w:rsidRPr="009F0882">
          <w:rPr>
            <w:sz w:val="20"/>
            <w:szCs w:val="20"/>
          </w:rPr>
          <w:fldChar w:fldCharType="begin"/>
        </w:r>
        <w:r w:rsidRPr="009F0882">
          <w:rPr>
            <w:sz w:val="20"/>
            <w:szCs w:val="20"/>
          </w:rPr>
          <w:instrText>PAGE   \* MERGEFORMAT</w:instrText>
        </w:r>
        <w:r w:rsidRPr="009F0882">
          <w:rPr>
            <w:sz w:val="20"/>
            <w:szCs w:val="20"/>
          </w:rPr>
          <w:fldChar w:fldCharType="separate"/>
        </w:r>
        <w:r w:rsidR="00577C5B">
          <w:rPr>
            <w:noProof/>
            <w:sz w:val="20"/>
            <w:szCs w:val="20"/>
          </w:rPr>
          <w:t>2</w:t>
        </w:r>
        <w:r w:rsidRPr="009F088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5A77A" w14:textId="77777777" w:rsidR="0027119B" w:rsidRDefault="0027119B" w:rsidP="00BE0FC0">
      <w:pPr>
        <w:spacing w:line="240" w:lineRule="auto"/>
      </w:pPr>
      <w:r>
        <w:separator/>
      </w:r>
    </w:p>
  </w:footnote>
  <w:footnote w:type="continuationSeparator" w:id="0">
    <w:p w14:paraId="69CE4D41" w14:textId="77777777" w:rsidR="0027119B" w:rsidRDefault="0027119B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D4212" w14:textId="7D41015B" w:rsidR="005120ED" w:rsidRPr="005120ED" w:rsidRDefault="005120ED" w:rsidP="005120ED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5352F4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751"/>
    <w:multiLevelType w:val="hybridMultilevel"/>
    <w:tmpl w:val="83886F92"/>
    <w:lvl w:ilvl="0" w:tplc="DB98CE6A">
      <w:start w:val="5"/>
      <w:numFmt w:val="bullet"/>
      <w:lvlText w:val="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365DC"/>
    <w:multiLevelType w:val="hybridMultilevel"/>
    <w:tmpl w:val="F2F43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3E3797"/>
    <w:multiLevelType w:val="hybridMultilevel"/>
    <w:tmpl w:val="77F4409A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17CC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D6E67"/>
    <w:multiLevelType w:val="hybridMultilevel"/>
    <w:tmpl w:val="6D8E4A94"/>
    <w:lvl w:ilvl="0" w:tplc="AFE6BD04">
      <w:start w:val="1"/>
      <w:numFmt w:val="decimal"/>
      <w:lvlText w:val="(%1)"/>
      <w:lvlJc w:val="left"/>
      <w:pPr>
        <w:ind w:left="720" w:hanging="360"/>
      </w:pPr>
      <w:rPr>
        <w:rFonts w:hint="default"/>
        <w14:cntxtAlt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1475A"/>
    <w:multiLevelType w:val="hybridMultilevel"/>
    <w:tmpl w:val="FA229A9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3CCE"/>
    <w:multiLevelType w:val="hybridMultilevel"/>
    <w:tmpl w:val="566E1C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74653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139F8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A0FBF"/>
    <w:multiLevelType w:val="hybridMultilevel"/>
    <w:tmpl w:val="714A9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332E3"/>
    <w:multiLevelType w:val="hybridMultilevel"/>
    <w:tmpl w:val="83F272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A1070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6C37A3"/>
    <w:multiLevelType w:val="hybridMultilevel"/>
    <w:tmpl w:val="4A0AF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A57F7"/>
    <w:multiLevelType w:val="hybridMultilevel"/>
    <w:tmpl w:val="A9BC3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B549A"/>
    <w:multiLevelType w:val="hybridMultilevel"/>
    <w:tmpl w:val="5A8AC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5F1495"/>
    <w:multiLevelType w:val="hybridMultilevel"/>
    <w:tmpl w:val="9C6EA88E"/>
    <w:lvl w:ilvl="0" w:tplc="0407000F">
      <w:start w:val="1"/>
      <w:numFmt w:val="decimal"/>
      <w:lvlText w:val="%1."/>
      <w:lvlJc w:val="left"/>
      <w:pPr>
        <w:ind w:left="681" w:hanging="360"/>
      </w:pPr>
    </w:lvl>
    <w:lvl w:ilvl="1" w:tplc="04070019" w:tentative="1">
      <w:start w:val="1"/>
      <w:numFmt w:val="lowerLetter"/>
      <w:lvlText w:val="%2."/>
      <w:lvlJc w:val="left"/>
      <w:pPr>
        <w:ind w:left="1401" w:hanging="360"/>
      </w:pPr>
    </w:lvl>
    <w:lvl w:ilvl="2" w:tplc="0407001B" w:tentative="1">
      <w:start w:val="1"/>
      <w:numFmt w:val="lowerRoman"/>
      <w:lvlText w:val="%3."/>
      <w:lvlJc w:val="right"/>
      <w:pPr>
        <w:ind w:left="2121" w:hanging="180"/>
      </w:pPr>
    </w:lvl>
    <w:lvl w:ilvl="3" w:tplc="0407000F" w:tentative="1">
      <w:start w:val="1"/>
      <w:numFmt w:val="decimal"/>
      <w:lvlText w:val="%4."/>
      <w:lvlJc w:val="left"/>
      <w:pPr>
        <w:ind w:left="2841" w:hanging="360"/>
      </w:pPr>
    </w:lvl>
    <w:lvl w:ilvl="4" w:tplc="04070019" w:tentative="1">
      <w:start w:val="1"/>
      <w:numFmt w:val="lowerLetter"/>
      <w:lvlText w:val="%5."/>
      <w:lvlJc w:val="left"/>
      <w:pPr>
        <w:ind w:left="3561" w:hanging="360"/>
      </w:pPr>
    </w:lvl>
    <w:lvl w:ilvl="5" w:tplc="0407001B" w:tentative="1">
      <w:start w:val="1"/>
      <w:numFmt w:val="lowerRoman"/>
      <w:lvlText w:val="%6."/>
      <w:lvlJc w:val="right"/>
      <w:pPr>
        <w:ind w:left="4281" w:hanging="180"/>
      </w:pPr>
    </w:lvl>
    <w:lvl w:ilvl="6" w:tplc="0407000F" w:tentative="1">
      <w:start w:val="1"/>
      <w:numFmt w:val="decimal"/>
      <w:lvlText w:val="%7."/>
      <w:lvlJc w:val="left"/>
      <w:pPr>
        <w:ind w:left="5001" w:hanging="360"/>
      </w:pPr>
    </w:lvl>
    <w:lvl w:ilvl="7" w:tplc="04070019" w:tentative="1">
      <w:start w:val="1"/>
      <w:numFmt w:val="lowerLetter"/>
      <w:lvlText w:val="%8."/>
      <w:lvlJc w:val="left"/>
      <w:pPr>
        <w:ind w:left="5721" w:hanging="360"/>
      </w:pPr>
    </w:lvl>
    <w:lvl w:ilvl="8" w:tplc="0407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3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9"/>
  </w:num>
  <w:num w:numId="5">
    <w:abstractNumId w:val="4"/>
  </w:num>
  <w:num w:numId="6">
    <w:abstractNumId w:val="21"/>
  </w:num>
  <w:num w:numId="7">
    <w:abstractNumId w:val="15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20"/>
  </w:num>
  <w:num w:numId="14">
    <w:abstractNumId w:val="17"/>
  </w:num>
  <w:num w:numId="15">
    <w:abstractNumId w:val="13"/>
  </w:num>
  <w:num w:numId="16">
    <w:abstractNumId w:val="11"/>
  </w:num>
  <w:num w:numId="17">
    <w:abstractNumId w:val="16"/>
  </w:num>
  <w:num w:numId="18">
    <w:abstractNumId w:val="23"/>
  </w:num>
  <w:num w:numId="19">
    <w:abstractNumId w:val="10"/>
  </w:num>
  <w:num w:numId="20">
    <w:abstractNumId w:val="5"/>
  </w:num>
  <w:num w:numId="21">
    <w:abstractNumId w:val="7"/>
  </w:num>
  <w:num w:numId="22">
    <w:abstractNumId w:val="22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03EF"/>
    <w:rsid w:val="000007B6"/>
    <w:rsid w:val="00030354"/>
    <w:rsid w:val="00035A21"/>
    <w:rsid w:val="00051E68"/>
    <w:rsid w:val="00062DA7"/>
    <w:rsid w:val="00081060"/>
    <w:rsid w:val="00084A37"/>
    <w:rsid w:val="00093B64"/>
    <w:rsid w:val="000A01C1"/>
    <w:rsid w:val="000C66C4"/>
    <w:rsid w:val="000F2C13"/>
    <w:rsid w:val="00147C79"/>
    <w:rsid w:val="0015498E"/>
    <w:rsid w:val="00161628"/>
    <w:rsid w:val="00166897"/>
    <w:rsid w:val="001834DB"/>
    <w:rsid w:val="00191E1E"/>
    <w:rsid w:val="0019456C"/>
    <w:rsid w:val="00197A17"/>
    <w:rsid w:val="001A0F1F"/>
    <w:rsid w:val="001B55C9"/>
    <w:rsid w:val="001C064F"/>
    <w:rsid w:val="001E181D"/>
    <w:rsid w:val="001E69FD"/>
    <w:rsid w:val="00205BD1"/>
    <w:rsid w:val="00207F45"/>
    <w:rsid w:val="002133C1"/>
    <w:rsid w:val="00226ABF"/>
    <w:rsid w:val="002419FF"/>
    <w:rsid w:val="00245463"/>
    <w:rsid w:val="0027119B"/>
    <w:rsid w:val="00286338"/>
    <w:rsid w:val="002973B4"/>
    <w:rsid w:val="002A3F24"/>
    <w:rsid w:val="002A4B43"/>
    <w:rsid w:val="002D767A"/>
    <w:rsid w:val="0031503E"/>
    <w:rsid w:val="00332640"/>
    <w:rsid w:val="0033373E"/>
    <w:rsid w:val="00344EBF"/>
    <w:rsid w:val="003515B7"/>
    <w:rsid w:val="003C515C"/>
    <w:rsid w:val="003D505D"/>
    <w:rsid w:val="003F6494"/>
    <w:rsid w:val="00407AE7"/>
    <w:rsid w:val="004536B1"/>
    <w:rsid w:val="00453A69"/>
    <w:rsid w:val="00457606"/>
    <w:rsid w:val="004762D1"/>
    <w:rsid w:val="00494DE7"/>
    <w:rsid w:val="004E4924"/>
    <w:rsid w:val="005020E7"/>
    <w:rsid w:val="005120ED"/>
    <w:rsid w:val="00512E19"/>
    <w:rsid w:val="00525C5A"/>
    <w:rsid w:val="00531625"/>
    <w:rsid w:val="0053452E"/>
    <w:rsid w:val="005365DA"/>
    <w:rsid w:val="00540894"/>
    <w:rsid w:val="0056350E"/>
    <w:rsid w:val="00572F5D"/>
    <w:rsid w:val="00577C5B"/>
    <w:rsid w:val="005D6053"/>
    <w:rsid w:val="005F07B1"/>
    <w:rsid w:val="005F7630"/>
    <w:rsid w:val="006123E8"/>
    <w:rsid w:val="00616FF1"/>
    <w:rsid w:val="0063153B"/>
    <w:rsid w:val="00640ACC"/>
    <w:rsid w:val="00653A8E"/>
    <w:rsid w:val="006B7024"/>
    <w:rsid w:val="006B729B"/>
    <w:rsid w:val="006D05E8"/>
    <w:rsid w:val="006D0E41"/>
    <w:rsid w:val="006E69BD"/>
    <w:rsid w:val="00707303"/>
    <w:rsid w:val="0071531B"/>
    <w:rsid w:val="00741AB1"/>
    <w:rsid w:val="00743B91"/>
    <w:rsid w:val="0075178A"/>
    <w:rsid w:val="007B3E01"/>
    <w:rsid w:val="007D70DC"/>
    <w:rsid w:val="00800B33"/>
    <w:rsid w:val="00825F8C"/>
    <w:rsid w:val="008370FE"/>
    <w:rsid w:val="0088611F"/>
    <w:rsid w:val="008925B4"/>
    <w:rsid w:val="008B2321"/>
    <w:rsid w:val="008E773C"/>
    <w:rsid w:val="00904A17"/>
    <w:rsid w:val="00932B04"/>
    <w:rsid w:val="0095535A"/>
    <w:rsid w:val="009605A0"/>
    <w:rsid w:val="009723ED"/>
    <w:rsid w:val="009901E9"/>
    <w:rsid w:val="009924E8"/>
    <w:rsid w:val="009A324E"/>
    <w:rsid w:val="009B6B34"/>
    <w:rsid w:val="009E7353"/>
    <w:rsid w:val="009E7629"/>
    <w:rsid w:val="00A00020"/>
    <w:rsid w:val="00A45FAC"/>
    <w:rsid w:val="00A53003"/>
    <w:rsid w:val="00A62D10"/>
    <w:rsid w:val="00A7048B"/>
    <w:rsid w:val="00A8527F"/>
    <w:rsid w:val="00A85785"/>
    <w:rsid w:val="00A86692"/>
    <w:rsid w:val="00A96E2F"/>
    <w:rsid w:val="00AC5D72"/>
    <w:rsid w:val="00AD7272"/>
    <w:rsid w:val="00AE04B0"/>
    <w:rsid w:val="00B06BE5"/>
    <w:rsid w:val="00B45107"/>
    <w:rsid w:val="00B649B7"/>
    <w:rsid w:val="00B83D2A"/>
    <w:rsid w:val="00BA05AF"/>
    <w:rsid w:val="00BB55D3"/>
    <w:rsid w:val="00BE0FC0"/>
    <w:rsid w:val="00BE3D0E"/>
    <w:rsid w:val="00BF0B19"/>
    <w:rsid w:val="00BF30D6"/>
    <w:rsid w:val="00C314EA"/>
    <w:rsid w:val="00C44BB8"/>
    <w:rsid w:val="00C66278"/>
    <w:rsid w:val="00C7227F"/>
    <w:rsid w:val="00C9497A"/>
    <w:rsid w:val="00CA3514"/>
    <w:rsid w:val="00CD434C"/>
    <w:rsid w:val="00CD7148"/>
    <w:rsid w:val="00CE241F"/>
    <w:rsid w:val="00CF1372"/>
    <w:rsid w:val="00D32B3E"/>
    <w:rsid w:val="00D40929"/>
    <w:rsid w:val="00D75B08"/>
    <w:rsid w:val="00D76A90"/>
    <w:rsid w:val="00D82B83"/>
    <w:rsid w:val="00D86F70"/>
    <w:rsid w:val="00DD61D0"/>
    <w:rsid w:val="00E0599A"/>
    <w:rsid w:val="00E14800"/>
    <w:rsid w:val="00E26A57"/>
    <w:rsid w:val="00E75A80"/>
    <w:rsid w:val="00E76ACB"/>
    <w:rsid w:val="00E93065"/>
    <w:rsid w:val="00EB4F90"/>
    <w:rsid w:val="00EB5F54"/>
    <w:rsid w:val="00F15230"/>
    <w:rsid w:val="00F4063F"/>
    <w:rsid w:val="00F80498"/>
    <w:rsid w:val="00FB1F6A"/>
    <w:rsid w:val="00F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D8134F"/>
  <w15:docId w15:val="{7F037574-8987-467A-AE80-75F0B5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3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D46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Vorgabetext">
    <w:name w:val="Vorgabetext"/>
    <w:basedOn w:val="Standard"/>
    <w:uiPriority w:val="99"/>
    <w:rsid w:val="00A85785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540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7353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xels.com/de-de/foto/attraktiv-brille-brillen-damen-100073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fs.de/SharedDocs/Downloads/BfS/DE/broschueren/unterricht-mobilfunk/mobilfunk-unterricht1.pdf?__blob=publicationFile&amp;v=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fs.de/DE/mediathek/unterrichtsmaterial/unterrichtsmaterial_node.htm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fs.de/SharedDocs/Downloads/BfS/DE/broschueren/unterricht-mobilfunk/mobilfunk-unterricht1.pdf?__blob=publicationFile&amp;v=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8A2A0-FA0B-4569-BD6E-7A23275A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2</cp:revision>
  <cp:lastPrinted>2016-06-23T13:18:00Z</cp:lastPrinted>
  <dcterms:created xsi:type="dcterms:W3CDTF">2021-02-17T13:59:00Z</dcterms:created>
  <dcterms:modified xsi:type="dcterms:W3CDTF">2021-02-17T13:59:00Z</dcterms:modified>
</cp:coreProperties>
</file>