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B2" w:rsidRPr="00637EFE" w:rsidRDefault="00637EFE" w:rsidP="00637EFE">
      <w:pPr>
        <w:spacing w:after="120"/>
      </w:pPr>
      <w:r w:rsidRPr="00637EFE">
        <w:t xml:space="preserve">Niveaubestimmende Aufgaben – Geographie – </w:t>
      </w:r>
      <w:r>
        <w:t>Schuljahrgänge 7/8</w:t>
      </w:r>
    </w:p>
    <w:p w:rsidR="00E539B2" w:rsidRDefault="00637EFE" w:rsidP="00637EFE">
      <w:pPr>
        <w:pStyle w:val="Listenabsatz"/>
        <w:ind w:left="0"/>
        <w:rPr>
          <w:b/>
          <w:sz w:val="28"/>
          <w:szCs w:val="28"/>
        </w:rPr>
      </w:pPr>
      <w:bookmarkStart w:id="0" w:name="_Hlk36136998"/>
      <w:r w:rsidRPr="00637EFE">
        <w:rPr>
          <w:b/>
          <w:sz w:val="28"/>
          <w:szCs w:val="28"/>
        </w:rPr>
        <w:t xml:space="preserve">Die Toshka-Region in Ägypten – </w:t>
      </w:r>
      <w:r w:rsidR="00475994">
        <w:rPr>
          <w:b/>
          <w:sz w:val="28"/>
          <w:szCs w:val="28"/>
        </w:rPr>
        <w:br/>
      </w:r>
      <w:r w:rsidRPr="00637EFE">
        <w:rPr>
          <w:b/>
          <w:sz w:val="28"/>
          <w:szCs w:val="28"/>
        </w:rPr>
        <w:t>Ein Konflikt mit einem sensiblen Naturraum?</w:t>
      </w:r>
      <w:bookmarkEnd w:id="0"/>
    </w:p>
    <w:p w:rsidR="00637EFE" w:rsidRPr="00637EFE" w:rsidRDefault="00637EFE" w:rsidP="00FC12E6">
      <w:pPr>
        <w:pStyle w:val="Listenabsatz"/>
        <w:tabs>
          <w:tab w:val="left" w:pos="426"/>
        </w:tabs>
        <w:ind w:left="357" w:hanging="357"/>
        <w:rPr>
          <w:b/>
          <w:sz w:val="24"/>
          <w:szCs w:val="24"/>
        </w:rPr>
      </w:pPr>
      <w:r w:rsidRPr="00637EFE">
        <w:rPr>
          <w:b/>
          <w:sz w:val="24"/>
          <w:szCs w:val="24"/>
        </w:rPr>
        <w:t>1.</w:t>
      </w:r>
      <w:r w:rsidRPr="00637EFE">
        <w:rPr>
          <w:b/>
          <w:sz w:val="24"/>
          <w:szCs w:val="24"/>
        </w:rPr>
        <w:tab/>
        <w:t>Einordnung in den Fachlehrplan</w:t>
      </w:r>
    </w:p>
    <w:tbl>
      <w:tblPr>
        <w:tblStyle w:val="Tabellenraster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E539B2" w:rsidTr="00637EFE">
        <w:tc>
          <w:tcPr>
            <w:tcW w:w="9781" w:type="dxa"/>
          </w:tcPr>
          <w:p w:rsidR="00E539B2" w:rsidRPr="00637EFE" w:rsidRDefault="00E539B2" w:rsidP="00637EFE">
            <w:pPr>
              <w:pStyle w:val="Listenabsatz"/>
              <w:spacing w:before="120"/>
              <w:ind w:left="0"/>
              <w:contextualSpacing w:val="0"/>
            </w:pPr>
            <w:r w:rsidRPr="00637EFE">
              <w:t xml:space="preserve">Kompetenzschwerpunkt: </w:t>
            </w:r>
          </w:p>
          <w:p w:rsidR="00E539B2" w:rsidRPr="00CD67FD" w:rsidRDefault="00E539B2" w:rsidP="00637EFE">
            <w:pPr>
              <w:pStyle w:val="Listenabsatz"/>
              <w:ind w:left="0"/>
            </w:pPr>
            <w:r>
              <w:t>Unterschiedliche Natur- und Lebensräume analysieren</w:t>
            </w:r>
          </w:p>
        </w:tc>
      </w:tr>
      <w:tr w:rsidR="00E539B2" w:rsidTr="00637EFE">
        <w:tc>
          <w:tcPr>
            <w:tcW w:w="9781" w:type="dxa"/>
          </w:tcPr>
          <w:p w:rsidR="00E539B2" w:rsidRPr="00637EFE" w:rsidRDefault="00E539B2" w:rsidP="00637EFE">
            <w:pPr>
              <w:pStyle w:val="Listenabsatz"/>
              <w:spacing w:before="120"/>
              <w:ind w:left="0"/>
              <w:contextualSpacing w:val="0"/>
            </w:pPr>
            <w:r w:rsidRPr="00637EFE">
              <w:t>Zu entwickelnde Kompetenzen:</w:t>
            </w:r>
          </w:p>
          <w:p w:rsidR="00E539B2" w:rsidRDefault="00E539B2" w:rsidP="00BA748A">
            <w:pPr>
              <w:pStyle w:val="Listenabsatz"/>
              <w:spacing w:after="120"/>
              <w:ind w:left="0"/>
              <w:rPr>
                <w:u w:val="single"/>
              </w:rPr>
            </w:pPr>
          </w:p>
          <w:p w:rsidR="00E539B2" w:rsidRPr="00C667E1" w:rsidRDefault="00E539B2" w:rsidP="00637EFE">
            <w:pPr>
              <w:pStyle w:val="Listenabsatz"/>
              <w:ind w:left="0"/>
            </w:pPr>
            <w:r w:rsidRPr="00C667E1">
              <w:t>Fachlehrplan:</w:t>
            </w:r>
          </w:p>
          <w:p w:rsidR="00E539B2" w:rsidRDefault="00E539B2" w:rsidP="00475994">
            <w:pPr>
              <w:pStyle w:val="Listenabsatz"/>
              <w:numPr>
                <w:ilvl w:val="0"/>
                <w:numId w:val="14"/>
              </w:numPr>
              <w:ind w:left="462"/>
              <w:rPr>
                <w:rStyle w:val="contenttext"/>
                <w:color w:val="000000" w:themeColor="text1"/>
              </w:rPr>
            </w:pPr>
            <w:r>
              <w:rPr>
                <w:rStyle w:val="contenttext"/>
                <w:color w:val="000000" w:themeColor="text1"/>
              </w:rPr>
              <w:t>das Zusammenwirken von Geofaktoren in Trockenräumen analysieren</w:t>
            </w:r>
          </w:p>
          <w:p w:rsidR="00E539B2" w:rsidRDefault="00E539B2" w:rsidP="00475994">
            <w:pPr>
              <w:pStyle w:val="Listenabsatz"/>
              <w:numPr>
                <w:ilvl w:val="0"/>
                <w:numId w:val="14"/>
              </w:numPr>
              <w:ind w:left="462"/>
              <w:rPr>
                <w:rStyle w:val="contenttext"/>
                <w:color w:val="000000" w:themeColor="text1"/>
              </w:rPr>
            </w:pPr>
            <w:r w:rsidRPr="00C5595B">
              <w:rPr>
                <w:rStyle w:val="contenttext"/>
                <w:color w:val="000000" w:themeColor="text1"/>
              </w:rPr>
              <w:t>eine Kausalkette zu Eingriffen des Menschen in den Naturhaushalt und deren Folgen auch mithilfe von Lernsoftware anfertigen</w:t>
            </w:r>
          </w:p>
          <w:p w:rsidR="00E539B2" w:rsidRPr="00475994" w:rsidRDefault="00E539B2" w:rsidP="00475994">
            <w:pPr>
              <w:pStyle w:val="Listenabsatz"/>
              <w:numPr>
                <w:ilvl w:val="0"/>
                <w:numId w:val="14"/>
              </w:numPr>
              <w:ind w:left="462"/>
              <w:rPr>
                <w:color w:val="000000" w:themeColor="text1"/>
              </w:rPr>
            </w:pPr>
            <w:r w:rsidRPr="00475994">
              <w:rPr>
                <w:color w:val="000000" w:themeColor="text1"/>
              </w:rPr>
              <w:t>Grundsatzband:</w:t>
            </w:r>
          </w:p>
          <w:p w:rsidR="00E539B2" w:rsidRPr="002C6004" w:rsidRDefault="00E539B2" w:rsidP="00475994">
            <w:pPr>
              <w:pStyle w:val="Listenabsatz"/>
              <w:numPr>
                <w:ilvl w:val="0"/>
                <w:numId w:val="14"/>
              </w:numPr>
              <w:ind w:left="462"/>
              <w:rPr>
                <w:lang w:eastAsia="de-DE"/>
              </w:rPr>
            </w:pPr>
            <w:r w:rsidRPr="002C6004">
              <w:rPr>
                <w:lang w:eastAsia="de-DE"/>
              </w:rPr>
              <w:t>verstehenden Lesens kontinuierlicher und nicht kontinuierlicher Texte weiterentwickeln und festigen (Sprachkompetenz)</w:t>
            </w:r>
          </w:p>
          <w:p w:rsidR="00E539B2" w:rsidRDefault="00E539B2" w:rsidP="00475994">
            <w:pPr>
              <w:pStyle w:val="Listenabsatz"/>
              <w:numPr>
                <w:ilvl w:val="0"/>
                <w:numId w:val="14"/>
              </w:numPr>
              <w:ind w:left="462"/>
              <w:jc w:val="both"/>
              <w:rPr>
                <w:lang w:eastAsia="de-DE"/>
              </w:rPr>
            </w:pPr>
            <w:r>
              <w:rPr>
                <w:lang w:eastAsia="de-DE"/>
              </w:rPr>
              <w:t>aufbauend auf vorhandene Kompetenzen Arbeitsmethoden, Arbeitstechniken und Lernstrategien weiterentwickeln, üben und anwenden (Lernkompetenz)</w:t>
            </w:r>
          </w:p>
          <w:p w:rsidR="00E539B2" w:rsidRPr="00FC0B1E" w:rsidRDefault="00E539B2" w:rsidP="00475994">
            <w:pPr>
              <w:pStyle w:val="Listenabsatz"/>
              <w:numPr>
                <w:ilvl w:val="0"/>
                <w:numId w:val="14"/>
              </w:numPr>
              <w:ind w:left="462"/>
              <w:jc w:val="both"/>
              <w:rPr>
                <w:lang w:eastAsia="de-DE"/>
              </w:rPr>
            </w:pPr>
            <w:r>
              <w:rPr>
                <w:rFonts w:cs="Arial"/>
              </w:rPr>
              <w:t>komplexe Aufgabenstellungen zunehmend selbstständig analysieren, Zusammenhänge erschließen sowie wesentliche und unwesentliche Informationen unterscheiden, um zielgerichtet Lösungsmöglichkeiten zu erkennen. (Problemlösekompetenz)</w:t>
            </w:r>
          </w:p>
          <w:p w:rsidR="00E539B2" w:rsidRPr="009E209D" w:rsidRDefault="00E539B2" w:rsidP="00475994">
            <w:pPr>
              <w:pStyle w:val="Listenabsatz"/>
              <w:numPr>
                <w:ilvl w:val="0"/>
                <w:numId w:val="14"/>
              </w:numPr>
              <w:ind w:left="462"/>
              <w:jc w:val="both"/>
              <w:rPr>
                <w:lang w:eastAsia="de-DE"/>
              </w:rPr>
            </w:pPr>
            <w:r>
              <w:rPr>
                <w:lang w:eastAsia="de-DE"/>
              </w:rPr>
              <w:t>produzieren und präsentieren von Medienprodukten in verschiedenen Formaten (Medienkompetenz)</w:t>
            </w:r>
          </w:p>
        </w:tc>
      </w:tr>
      <w:tr w:rsidR="00E539B2" w:rsidTr="00637EFE">
        <w:tc>
          <w:tcPr>
            <w:tcW w:w="9781" w:type="dxa"/>
          </w:tcPr>
          <w:p w:rsidR="00E539B2" w:rsidRPr="00637EFE" w:rsidRDefault="00E539B2" w:rsidP="00637EFE">
            <w:pPr>
              <w:pStyle w:val="Listenabsatz"/>
              <w:spacing w:before="120"/>
              <w:ind w:left="0"/>
            </w:pPr>
            <w:r w:rsidRPr="00637EFE">
              <w:t>Bezug zu grundlegenden Wissensbeständen:</w:t>
            </w:r>
          </w:p>
          <w:p w:rsidR="00E539B2" w:rsidRPr="00C5595B" w:rsidRDefault="00E539B2" w:rsidP="00475994">
            <w:pPr>
              <w:pStyle w:val="Listenabsatz"/>
              <w:numPr>
                <w:ilvl w:val="0"/>
                <w:numId w:val="15"/>
              </w:numPr>
              <w:spacing w:after="120"/>
              <w:ind w:left="462"/>
              <w:rPr>
                <w:rStyle w:val="contenttext"/>
                <w:u w:val="single"/>
              </w:rPr>
            </w:pPr>
            <w:r>
              <w:rPr>
                <w:rStyle w:val="contenttext"/>
              </w:rPr>
              <w:t>Trocken- und Konfliktraum Orient</w:t>
            </w:r>
          </w:p>
          <w:p w:rsidR="00E539B2" w:rsidRPr="00865DA0" w:rsidRDefault="00E539B2" w:rsidP="00475994">
            <w:pPr>
              <w:pStyle w:val="Listenabsatz"/>
              <w:numPr>
                <w:ilvl w:val="0"/>
                <w:numId w:val="15"/>
              </w:numPr>
              <w:spacing w:after="120"/>
              <w:ind w:left="462"/>
              <w:rPr>
                <w:rStyle w:val="contenttext"/>
                <w:u w:val="single"/>
              </w:rPr>
            </w:pPr>
            <w:r>
              <w:rPr>
                <w:rStyle w:val="contenttext"/>
              </w:rPr>
              <w:t>Wüste, Oase</w:t>
            </w:r>
          </w:p>
          <w:p w:rsidR="00E539B2" w:rsidRPr="00865DA0" w:rsidRDefault="00E539B2" w:rsidP="00475994">
            <w:pPr>
              <w:pStyle w:val="Listenabsatz"/>
              <w:numPr>
                <w:ilvl w:val="0"/>
                <w:numId w:val="15"/>
              </w:numPr>
              <w:spacing w:after="120"/>
              <w:ind w:left="462"/>
              <w:rPr>
                <w:u w:val="single"/>
              </w:rPr>
            </w:pPr>
            <w:r>
              <w:t>Kenntnisse zu den Geofaktoren</w:t>
            </w:r>
          </w:p>
          <w:p w:rsidR="00E539B2" w:rsidRPr="00C667E1" w:rsidRDefault="00E539B2" w:rsidP="00475994">
            <w:pPr>
              <w:pStyle w:val="Listenabsatz"/>
              <w:numPr>
                <w:ilvl w:val="0"/>
                <w:numId w:val="15"/>
              </w:numPr>
              <w:spacing w:after="120"/>
              <w:ind w:left="462"/>
              <w:rPr>
                <w:u w:val="single"/>
              </w:rPr>
            </w:pPr>
            <w:r>
              <w:t>Methode „Kausalkette“ bzw. dementsprechend Methode zuvor einführen</w:t>
            </w:r>
          </w:p>
        </w:tc>
      </w:tr>
    </w:tbl>
    <w:p w:rsidR="00E539B2" w:rsidRDefault="00E539B2" w:rsidP="00637EFE">
      <w:pPr>
        <w:spacing w:after="120"/>
      </w:pPr>
    </w:p>
    <w:p w:rsidR="00EB3A52" w:rsidRDefault="00EB3A52" w:rsidP="00EB3A52">
      <w:pPr>
        <w:spacing w:line="240" w:lineRule="auto"/>
      </w:pPr>
    </w:p>
    <w:p w:rsidR="00E539B2" w:rsidRPr="00637EFE" w:rsidRDefault="00637EFE" w:rsidP="00FC12E6">
      <w:pPr>
        <w:tabs>
          <w:tab w:val="left" w:pos="426"/>
        </w:tabs>
        <w:ind w:left="357" w:hanging="357"/>
        <w:contextualSpacing/>
        <w:rPr>
          <w:b/>
          <w:sz w:val="24"/>
          <w:szCs w:val="24"/>
        </w:rPr>
      </w:pPr>
      <w:r w:rsidRPr="00637EFE">
        <w:rPr>
          <w:b/>
          <w:sz w:val="24"/>
          <w:szCs w:val="24"/>
        </w:rPr>
        <w:t>2.</w:t>
      </w:r>
      <w:r w:rsidRPr="00637EFE">
        <w:rPr>
          <w:b/>
          <w:sz w:val="24"/>
          <w:szCs w:val="24"/>
        </w:rPr>
        <w:tab/>
      </w:r>
      <w:r w:rsidR="00E539B2" w:rsidRPr="00637EFE">
        <w:rPr>
          <w:b/>
          <w:sz w:val="24"/>
          <w:szCs w:val="24"/>
        </w:rPr>
        <w:t>Anregungen und Hinweise zum unterrichtlichen Einsatz</w:t>
      </w:r>
    </w:p>
    <w:p w:rsidR="00E539B2" w:rsidRPr="006F1E9E" w:rsidRDefault="00E539B2" w:rsidP="00475994">
      <w:pPr>
        <w:pStyle w:val="Listenabsatz"/>
        <w:numPr>
          <w:ilvl w:val="0"/>
          <w:numId w:val="16"/>
        </w:numPr>
        <w:ind w:left="426"/>
        <w:rPr>
          <w:rFonts w:cs="Arial"/>
          <w:color w:val="FF0000"/>
        </w:rPr>
      </w:pPr>
      <w:r w:rsidRPr="00EB3A52">
        <w:t xml:space="preserve">der </w:t>
      </w:r>
      <w:r w:rsidRPr="0074655F">
        <w:rPr>
          <w:color w:val="FF0000"/>
        </w:rPr>
        <w:t>Moodlekurs</w:t>
      </w:r>
      <w:r w:rsidRPr="00EB3A52">
        <w:t xml:space="preserve"> </w:t>
      </w:r>
      <w:r w:rsidR="00EB3A52">
        <w:t xml:space="preserve">zur NbA </w:t>
      </w:r>
      <w:r w:rsidRPr="00EB3A52">
        <w:t>steht zum Download bereit unter</w:t>
      </w:r>
      <w:r w:rsidR="00EB3A52" w:rsidRPr="00EB3A52">
        <w:rPr>
          <w:rFonts w:ascii="Verdana" w:hAnsi="Verdana"/>
          <w:sz w:val="20"/>
          <w:szCs w:val="20"/>
        </w:rPr>
        <w:t xml:space="preserve"> </w:t>
      </w:r>
      <w:hyperlink r:id="rId7" w:history="1">
        <w:r w:rsidR="00EB3A52" w:rsidRPr="00EB3A52">
          <w:rPr>
            <w:rStyle w:val="Hyperlink"/>
            <w:rFonts w:cs="Arial"/>
          </w:rPr>
          <w:t>https://moodle.bildung-lsa.de/einsteiger/course/view.php?id=3</w:t>
        </w:r>
      </w:hyperlink>
      <w:r w:rsidR="00EB3A52" w:rsidRPr="00EB3A52">
        <w:rPr>
          <w:rFonts w:cs="Arial"/>
        </w:rPr>
        <w:t xml:space="preserve"> und ist für alle Einsteigermoodle-Nutzer im Lehrerzimmer zu sehen.</w:t>
      </w:r>
      <w:r w:rsidR="00EB3A52">
        <w:rPr>
          <w:rFonts w:cs="Arial"/>
        </w:rPr>
        <w:t xml:space="preserve"> Kontakt</w:t>
      </w:r>
      <w:r w:rsidR="006F1E9E">
        <w:rPr>
          <w:rFonts w:cs="Arial"/>
        </w:rPr>
        <w:t xml:space="preserve"> bei Fragen</w:t>
      </w:r>
      <w:r w:rsidR="00EB3A52">
        <w:rPr>
          <w:rFonts w:cs="Arial"/>
        </w:rPr>
        <w:t xml:space="preserve">: </w:t>
      </w:r>
      <w:hyperlink r:id="rId8" w:history="1">
        <w:r w:rsidR="006F1E9E" w:rsidRPr="00EF21CE">
          <w:rPr>
            <w:rStyle w:val="Hyperlink"/>
            <w:rFonts w:cs="Arial"/>
          </w:rPr>
          <w:t>lisa-selessa@sachsen-anhalt.de</w:t>
        </w:r>
      </w:hyperlink>
    </w:p>
    <w:p w:rsidR="00E539B2" w:rsidRPr="00623757" w:rsidRDefault="00E539B2" w:rsidP="00254B67">
      <w:pPr>
        <w:pStyle w:val="Listenabsatz"/>
        <w:numPr>
          <w:ilvl w:val="0"/>
          <w:numId w:val="16"/>
        </w:numPr>
        <w:tabs>
          <w:tab w:val="left" w:pos="3045"/>
        </w:tabs>
        <w:ind w:left="426"/>
      </w:pPr>
      <w:bookmarkStart w:id="1" w:name="_GoBack"/>
      <w:bookmarkEnd w:id="1"/>
      <w:r>
        <w:t>Einbettung des Moodle-Kurses in eine Sequenz zur Erarbeitung</w:t>
      </w:r>
    </w:p>
    <w:p w:rsidR="00E539B2" w:rsidRDefault="00E539B2" w:rsidP="00637EFE">
      <w:pPr>
        <w:pStyle w:val="Listenabsatz"/>
        <w:numPr>
          <w:ilvl w:val="1"/>
          <w:numId w:val="8"/>
        </w:numPr>
        <w:ind w:left="709" w:hanging="283"/>
      </w:pPr>
      <w:r>
        <w:lastRenderedPageBreak/>
        <w:t>das Toshka-Projekt ist eine Thematik, die das typische Unterrichtsthema (Assuanstaudamm) ersetzen oder erweitern kann</w:t>
      </w:r>
    </w:p>
    <w:p w:rsidR="00E539B2" w:rsidRDefault="00E539B2" w:rsidP="00637EFE">
      <w:pPr>
        <w:pStyle w:val="Listenabsatz"/>
        <w:numPr>
          <w:ilvl w:val="1"/>
          <w:numId w:val="8"/>
        </w:numPr>
        <w:ind w:left="709" w:hanging="283"/>
      </w:pPr>
      <w:r>
        <w:t>das Toshka-Projekt ist im Vergleich zum Thema „Assuanstaudamm“ aktueller</w:t>
      </w:r>
    </w:p>
    <w:p w:rsidR="00E539B2" w:rsidRDefault="00E539B2" w:rsidP="00475994">
      <w:pPr>
        <w:pStyle w:val="Listenabsatz"/>
        <w:numPr>
          <w:ilvl w:val="0"/>
          <w:numId w:val="16"/>
        </w:numPr>
        <w:ind w:left="426"/>
      </w:pPr>
      <w:r>
        <w:t xml:space="preserve">die </w:t>
      </w:r>
      <w:r w:rsidRPr="00475994">
        <w:rPr>
          <w:color w:val="FF0000"/>
        </w:rPr>
        <w:t>Methode</w:t>
      </w:r>
      <w:r>
        <w:t xml:space="preserve"> „Kausalkette“ sollte bestenfalls den SuS bekannt sein, damit die NbA in dieser Hinsicht reibungslos durchgeführt werden kann</w:t>
      </w:r>
    </w:p>
    <w:p w:rsidR="00E539B2" w:rsidRDefault="00E539B2" w:rsidP="00E539B2">
      <w:pPr>
        <w:pStyle w:val="Listenabsatz"/>
        <w:ind w:left="2148"/>
      </w:pPr>
    </w:p>
    <w:p w:rsidR="00E539B2" w:rsidRDefault="00E539B2" w:rsidP="00475994">
      <w:pPr>
        <w:pStyle w:val="Listenabsatz"/>
        <w:numPr>
          <w:ilvl w:val="0"/>
          <w:numId w:val="16"/>
        </w:numPr>
        <w:ind w:left="426"/>
      </w:pPr>
      <w:r w:rsidRPr="00475994">
        <w:rPr>
          <w:color w:val="FF0000"/>
        </w:rPr>
        <w:t>Bearbeitung</w:t>
      </w:r>
      <w:r>
        <w:t xml:space="preserve"> am PC empfehlenswert aufgrund der Bearbeitung von Text-Dateien </w:t>
      </w:r>
    </w:p>
    <w:p w:rsidR="00E539B2" w:rsidRDefault="00E539B2" w:rsidP="00475994">
      <w:pPr>
        <w:pStyle w:val="Listenabsatz"/>
        <w:numPr>
          <w:ilvl w:val="0"/>
          <w:numId w:val="16"/>
        </w:numPr>
        <w:ind w:left="426"/>
      </w:pPr>
      <w:r>
        <w:t>Atlanten(digital/analog) als Differenzierungsmöglichkeit einsetzbar</w:t>
      </w:r>
    </w:p>
    <w:p w:rsidR="00E539B2" w:rsidRDefault="00E539B2" w:rsidP="00475994">
      <w:pPr>
        <w:pStyle w:val="Listenabsatz"/>
        <w:numPr>
          <w:ilvl w:val="0"/>
          <w:numId w:val="16"/>
        </w:numPr>
        <w:ind w:left="426"/>
      </w:pPr>
      <w:r>
        <w:t>analoge Durchführung der NbA nur begrenzt möglich, spätestens ab Aufgabe 3 schwierig</w:t>
      </w:r>
    </w:p>
    <w:p w:rsidR="00E539B2" w:rsidRDefault="00E539B2" w:rsidP="00637EFE">
      <w:pPr>
        <w:pStyle w:val="Listenabsatz"/>
        <w:numPr>
          <w:ilvl w:val="1"/>
          <w:numId w:val="8"/>
        </w:numPr>
        <w:ind w:left="709" w:hanging="283"/>
      </w:pPr>
      <w:r>
        <w:t>eine analoge Durchführung hätte eine sehr hohe Materialnutzung zur Folge</w:t>
      </w:r>
    </w:p>
    <w:p w:rsidR="00E539B2" w:rsidRDefault="00E539B2" w:rsidP="00475994">
      <w:pPr>
        <w:pStyle w:val="Listenabsatz"/>
        <w:numPr>
          <w:ilvl w:val="0"/>
          <w:numId w:val="16"/>
        </w:numPr>
        <w:ind w:left="426"/>
      </w:pPr>
      <w:r w:rsidRPr="00475994">
        <w:t>für d</w:t>
      </w:r>
      <w:r>
        <w:t>ie Aufgabe 1a und 4 in den Vollbildmodus wechseln</w:t>
      </w:r>
    </w:p>
    <w:p w:rsidR="00E539B2" w:rsidRDefault="00E539B2" w:rsidP="00475994">
      <w:pPr>
        <w:pStyle w:val="Listenabsatz"/>
        <w:numPr>
          <w:ilvl w:val="0"/>
          <w:numId w:val="16"/>
        </w:numPr>
        <w:ind w:left="426"/>
      </w:pPr>
      <w:r>
        <w:t>eine Differenzierung hinsichtlich schneller SuS sollte situationsabhängig erfolgen (analog oder digital)</w:t>
      </w:r>
    </w:p>
    <w:p w:rsidR="00E539B2" w:rsidRDefault="00E539B2" w:rsidP="00475994">
      <w:pPr>
        <w:pStyle w:val="Listenabsatz"/>
        <w:numPr>
          <w:ilvl w:val="0"/>
          <w:numId w:val="16"/>
        </w:numPr>
        <w:ind w:left="426"/>
      </w:pPr>
      <w:r>
        <w:t>die Aufgabe 4 kann als Zusatzaufgabe gesehen werden, wenn nach der Aufgabe 3b eine Kontrolle der Arbeitsergebnisse erfolgt</w:t>
      </w:r>
    </w:p>
    <w:p w:rsidR="00E539B2" w:rsidRDefault="00E539B2" w:rsidP="00E539B2"/>
    <w:p w:rsidR="00E539B2" w:rsidRDefault="00E539B2" w:rsidP="00475994">
      <w:pPr>
        <w:pStyle w:val="Listenabsatz"/>
        <w:numPr>
          <w:ilvl w:val="0"/>
          <w:numId w:val="16"/>
        </w:numPr>
        <w:ind w:left="426"/>
      </w:pPr>
      <w:r>
        <w:t>das Einrichten der Schülerkonten sollte von Seiten der Schule erfolgen bzw. sollten diese bestenfalls vorhanden sein, da es Probleme bei der Anmeldung über den Gastzugang gab</w:t>
      </w:r>
    </w:p>
    <w:p w:rsidR="00637EFE" w:rsidRDefault="00637EFE">
      <w:pPr>
        <w:spacing w:after="160" w:line="259" w:lineRule="auto"/>
        <w:rPr>
          <w:u w:val="single"/>
        </w:rPr>
      </w:pPr>
      <w:r>
        <w:rPr>
          <w:u w:val="single"/>
        </w:rPr>
        <w:br w:type="page"/>
      </w:r>
    </w:p>
    <w:p w:rsidR="00E539B2" w:rsidRPr="00637EFE" w:rsidRDefault="00637EFE" w:rsidP="00FC12E6">
      <w:pPr>
        <w:tabs>
          <w:tab w:val="left" w:pos="426"/>
        </w:tabs>
        <w:ind w:left="357" w:hanging="357"/>
        <w:contextualSpacing/>
        <w:rPr>
          <w:b/>
          <w:sz w:val="24"/>
          <w:szCs w:val="24"/>
        </w:rPr>
      </w:pPr>
      <w:r w:rsidRPr="00637EFE">
        <w:rPr>
          <w:b/>
          <w:sz w:val="24"/>
          <w:szCs w:val="24"/>
        </w:rPr>
        <w:lastRenderedPageBreak/>
        <w:t>3.</w:t>
      </w:r>
      <w:r w:rsidRPr="00637EFE">
        <w:rPr>
          <w:b/>
          <w:sz w:val="24"/>
          <w:szCs w:val="24"/>
        </w:rPr>
        <w:tab/>
      </w:r>
      <w:r w:rsidR="00E539B2" w:rsidRPr="00637EFE">
        <w:rPr>
          <w:b/>
          <w:sz w:val="24"/>
          <w:szCs w:val="24"/>
        </w:rPr>
        <w:t>Erwartungshorizont</w:t>
      </w:r>
    </w:p>
    <w:tbl>
      <w:tblPr>
        <w:tblStyle w:val="Tabellenraster"/>
        <w:tblpPr w:leftFromText="141" w:rightFromText="141" w:vertAnchor="text" w:horzAnchor="margin" w:tblpXSpec="center" w:tblpY="198"/>
        <w:tblW w:w="9469" w:type="dxa"/>
        <w:tblLayout w:type="fixed"/>
        <w:tblLook w:val="04A0" w:firstRow="1" w:lastRow="0" w:firstColumn="1" w:lastColumn="0" w:noHBand="0" w:noVBand="1"/>
      </w:tblPr>
      <w:tblGrid>
        <w:gridCol w:w="1106"/>
        <w:gridCol w:w="6520"/>
        <w:gridCol w:w="851"/>
        <w:gridCol w:w="992"/>
      </w:tblGrid>
      <w:tr w:rsidR="00E539B2" w:rsidTr="00076DE8">
        <w:tc>
          <w:tcPr>
            <w:tcW w:w="1106" w:type="dxa"/>
            <w:shd w:val="clear" w:color="auto" w:fill="D9D9D9" w:themeFill="background1" w:themeFillShade="D9"/>
          </w:tcPr>
          <w:p w:rsidR="00E539B2" w:rsidRDefault="00E539B2" w:rsidP="00951C64">
            <w:pPr>
              <w:pStyle w:val="Listenabsatz"/>
              <w:spacing w:before="120"/>
              <w:ind w:left="0"/>
              <w:jc w:val="center"/>
            </w:pPr>
            <w:r>
              <w:t>Teilauf-gabe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:rsidR="00E539B2" w:rsidRDefault="00E539B2" w:rsidP="00951C64">
            <w:pPr>
              <w:pStyle w:val="Listenabsatz"/>
              <w:spacing w:before="120"/>
              <w:ind w:left="0"/>
              <w:contextualSpacing w:val="0"/>
              <w:jc w:val="center"/>
            </w:pPr>
            <w:r>
              <w:t>Erwartete Schülerleistung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539B2" w:rsidRDefault="00E539B2" w:rsidP="00951C64">
            <w:pPr>
              <w:pStyle w:val="Listenabsatz"/>
              <w:spacing w:before="120"/>
              <w:ind w:left="0"/>
              <w:contextualSpacing w:val="0"/>
              <w:jc w:val="center"/>
            </w:pPr>
            <w:r>
              <w:t>AFB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539B2" w:rsidRDefault="00E539B2" w:rsidP="00951C64">
            <w:pPr>
              <w:pStyle w:val="Listenabsatz"/>
              <w:spacing w:before="120"/>
              <w:ind w:left="0"/>
              <w:contextualSpacing w:val="0"/>
              <w:jc w:val="center"/>
            </w:pPr>
            <w:r>
              <w:t>KB</w:t>
            </w:r>
          </w:p>
        </w:tc>
      </w:tr>
      <w:tr w:rsidR="00E539B2" w:rsidTr="00076DE8">
        <w:trPr>
          <w:trHeight w:val="6310"/>
        </w:trPr>
        <w:tc>
          <w:tcPr>
            <w:tcW w:w="1106" w:type="dxa"/>
            <w:shd w:val="clear" w:color="auto" w:fill="FFFFFF" w:themeFill="background1"/>
          </w:tcPr>
          <w:p w:rsidR="00E539B2" w:rsidRDefault="00E539B2" w:rsidP="00637EFE">
            <w:pPr>
              <w:pStyle w:val="Listenabsatz"/>
              <w:spacing w:before="120"/>
              <w:ind w:left="0"/>
              <w:contextualSpacing w:val="0"/>
              <w:jc w:val="center"/>
            </w:pPr>
            <w:r>
              <w:t>1</w:t>
            </w:r>
          </w:p>
        </w:tc>
        <w:tc>
          <w:tcPr>
            <w:tcW w:w="6520" w:type="dxa"/>
            <w:shd w:val="clear" w:color="auto" w:fill="FFFFFF" w:themeFill="background1"/>
          </w:tcPr>
          <w:p w:rsidR="00E539B2" w:rsidRDefault="00E539B2" w:rsidP="00637EFE">
            <w:pPr>
              <w:pStyle w:val="Listenabsatz"/>
              <w:spacing w:before="120"/>
              <w:ind w:left="0"/>
              <w:contextualSpacing w:val="0"/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290BF417" wp14:editId="4A9FE195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414020</wp:posOffset>
                  </wp:positionV>
                  <wp:extent cx="3802075" cy="3429000"/>
                  <wp:effectExtent l="19050" t="19050" r="8255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2075" cy="3429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1a) </w:t>
            </w:r>
          </w:p>
          <w:p w:rsidR="00E539B2" w:rsidRDefault="00E539B2" w:rsidP="00BA748A"/>
          <w:p w:rsidR="00E539B2" w:rsidRPr="00F0751D" w:rsidRDefault="00951C64" w:rsidP="00BA748A">
            <w:pPr>
              <w:jc w:val="both"/>
              <w:rPr>
                <w:rFonts w:cs="Arial"/>
              </w:rPr>
            </w:pPr>
            <w:r>
              <w:t>1b)</w:t>
            </w:r>
          </w:p>
          <w:p w:rsidR="00E539B2" w:rsidRPr="00F0751D" w:rsidRDefault="00E539B2" w:rsidP="00BA748A">
            <w:pPr>
              <w:jc w:val="both"/>
              <w:rPr>
                <w:rFonts w:cs="Arial"/>
              </w:rPr>
            </w:pPr>
            <w:r w:rsidRPr="00F0751D">
              <w:rPr>
                <w:rFonts w:cs="Arial"/>
              </w:rPr>
              <w:t xml:space="preserve">Die Toshka-Region liegt im </w:t>
            </w:r>
            <w:r w:rsidRPr="00F0751D">
              <w:rPr>
                <w:rFonts w:cs="Arial"/>
                <w:u w:val="single"/>
              </w:rPr>
              <w:t>Süden</w:t>
            </w:r>
            <w:r w:rsidRPr="00F0751D">
              <w:rPr>
                <w:rFonts w:cs="Arial"/>
              </w:rPr>
              <w:t xml:space="preserve"> Ägyptens. Sie liegt </w:t>
            </w:r>
            <w:r w:rsidRPr="00F0751D">
              <w:rPr>
                <w:rFonts w:cs="Arial"/>
                <w:u w:val="single"/>
              </w:rPr>
              <w:t>westlich</w:t>
            </w:r>
            <w:r w:rsidRPr="00F0751D">
              <w:rPr>
                <w:rFonts w:cs="Arial"/>
              </w:rPr>
              <w:t xml:space="preserve"> vom Nassersee, mit dem die Region über einen Kanal verbunden ist. Die Toshka-Region befindet sich in der Vegetationszone der </w:t>
            </w:r>
            <w:r w:rsidRPr="00F0751D">
              <w:rPr>
                <w:rFonts w:cs="Arial"/>
                <w:u w:val="single"/>
              </w:rPr>
              <w:t>Wüsten</w:t>
            </w:r>
            <w:r w:rsidRPr="00F0751D">
              <w:rPr>
                <w:rFonts w:cs="Arial"/>
              </w:rPr>
              <w:t xml:space="preserve"> und Halbwüsten.</w:t>
            </w:r>
          </w:p>
          <w:p w:rsidR="00E539B2" w:rsidRPr="003247F1" w:rsidRDefault="00E539B2" w:rsidP="00BA748A">
            <w:pPr>
              <w:pStyle w:val="Listenabsatz"/>
              <w:ind w:left="0"/>
            </w:pPr>
          </w:p>
        </w:tc>
        <w:tc>
          <w:tcPr>
            <w:tcW w:w="851" w:type="dxa"/>
            <w:shd w:val="clear" w:color="auto" w:fill="FFFFFF" w:themeFill="background1"/>
          </w:tcPr>
          <w:p w:rsidR="00E539B2" w:rsidRDefault="00E539B2" w:rsidP="00637EFE">
            <w:pPr>
              <w:pStyle w:val="Listenabsatz"/>
              <w:spacing w:before="840"/>
              <w:ind w:left="0"/>
              <w:contextualSpacing w:val="0"/>
              <w:jc w:val="center"/>
            </w:pPr>
            <w:r>
              <w:t>I</w:t>
            </w:r>
            <w:r w:rsidR="00637EFE">
              <w:t>/</w:t>
            </w:r>
            <w:r>
              <w:t>II</w:t>
            </w:r>
          </w:p>
          <w:p w:rsidR="00E539B2" w:rsidRDefault="00E539B2" w:rsidP="00637EFE">
            <w:pPr>
              <w:pStyle w:val="Listenabsatz"/>
              <w:spacing w:before="5160"/>
              <w:ind w:left="0"/>
              <w:contextualSpacing w:val="0"/>
              <w:jc w:val="center"/>
            </w:pPr>
            <w:r>
              <w:t>II</w:t>
            </w:r>
          </w:p>
        </w:tc>
        <w:tc>
          <w:tcPr>
            <w:tcW w:w="992" w:type="dxa"/>
            <w:shd w:val="clear" w:color="auto" w:fill="FFFFFF" w:themeFill="background1"/>
          </w:tcPr>
          <w:p w:rsidR="00E539B2" w:rsidRDefault="00E539B2" w:rsidP="00951C64">
            <w:pPr>
              <w:pStyle w:val="Listenabsatz"/>
              <w:spacing w:before="840"/>
              <w:ind w:left="0"/>
              <w:contextualSpacing w:val="0"/>
              <w:jc w:val="center"/>
            </w:pPr>
            <w:r>
              <w:t>RO</w:t>
            </w:r>
          </w:p>
          <w:p w:rsidR="00E539B2" w:rsidRDefault="00E539B2" w:rsidP="00951C64">
            <w:pPr>
              <w:pStyle w:val="Listenabsatz"/>
              <w:spacing w:before="5160"/>
              <w:ind w:left="0"/>
              <w:contextualSpacing w:val="0"/>
              <w:jc w:val="center"/>
            </w:pPr>
            <w:r>
              <w:t>RO</w:t>
            </w:r>
          </w:p>
        </w:tc>
      </w:tr>
      <w:tr w:rsidR="00E539B2" w:rsidTr="00076DE8">
        <w:tc>
          <w:tcPr>
            <w:tcW w:w="1106" w:type="dxa"/>
            <w:shd w:val="clear" w:color="auto" w:fill="FFFFFF" w:themeFill="background1"/>
          </w:tcPr>
          <w:p w:rsidR="00E539B2" w:rsidRDefault="00E539B2" w:rsidP="00951C64">
            <w:pPr>
              <w:pStyle w:val="Listenabsatz"/>
              <w:spacing w:before="120"/>
              <w:ind w:left="0"/>
              <w:contextualSpacing w:val="0"/>
              <w:jc w:val="center"/>
            </w:pPr>
            <w:r>
              <w:t>2</w:t>
            </w:r>
          </w:p>
        </w:tc>
        <w:tc>
          <w:tcPr>
            <w:tcW w:w="6520" w:type="dxa"/>
            <w:shd w:val="clear" w:color="auto" w:fill="FFFFFF" w:themeFill="background1"/>
          </w:tcPr>
          <w:p w:rsidR="00E539B2" w:rsidRPr="00F0751D" w:rsidRDefault="00E539B2" w:rsidP="00951C64">
            <w:pPr>
              <w:spacing w:before="120"/>
              <w:rPr>
                <w:bCs/>
              </w:rPr>
            </w:pPr>
            <w:r w:rsidRPr="00F0751D">
              <w:rPr>
                <w:bCs/>
              </w:rPr>
              <w:t>Hauptziele der ägyptischen Regierung</w:t>
            </w:r>
          </w:p>
          <w:p w:rsidR="00E539B2" w:rsidRDefault="00E539B2" w:rsidP="00951C64">
            <w:pPr>
              <w:numPr>
                <w:ilvl w:val="0"/>
                <w:numId w:val="12"/>
              </w:numPr>
              <w:tabs>
                <w:tab w:val="clear" w:pos="720"/>
              </w:tabs>
              <w:ind w:left="342" w:hanging="342"/>
              <w:rPr>
                <w:bCs/>
              </w:rPr>
            </w:pPr>
            <w:r w:rsidRPr="00F0751D">
              <w:rPr>
                <w:bCs/>
              </w:rPr>
              <w:t>die Siedlungsf</w:t>
            </w:r>
            <w:r>
              <w:rPr>
                <w:bCs/>
              </w:rPr>
              <w:t>l</w:t>
            </w:r>
            <w:r w:rsidRPr="00F0751D">
              <w:rPr>
                <w:bCs/>
              </w:rPr>
              <w:t>äche in Ägypten von 5% auf 25% steigern, durch die Erschließung der Toshka-Region</w:t>
            </w:r>
          </w:p>
          <w:p w:rsidR="00E539B2" w:rsidRPr="009503ED" w:rsidRDefault="00E539B2" w:rsidP="00951C64">
            <w:pPr>
              <w:numPr>
                <w:ilvl w:val="0"/>
                <w:numId w:val="12"/>
              </w:numPr>
              <w:tabs>
                <w:tab w:val="clear" w:pos="720"/>
              </w:tabs>
              <w:ind w:left="342" w:hanging="342"/>
              <w:rPr>
                <w:bCs/>
              </w:rPr>
            </w:pPr>
            <w:r w:rsidRPr="00C0455B">
              <w:rPr>
                <w:bCs/>
              </w:rPr>
              <w:t>die Bevölkerungsansammlung am Nil verringern, durch Umsiedlung von 3 Mio. Menschen</w:t>
            </w:r>
          </w:p>
        </w:tc>
        <w:tc>
          <w:tcPr>
            <w:tcW w:w="851" w:type="dxa"/>
            <w:shd w:val="clear" w:color="auto" w:fill="FFFFFF" w:themeFill="background1"/>
          </w:tcPr>
          <w:p w:rsidR="00E539B2" w:rsidRDefault="00E539B2" w:rsidP="00951C64">
            <w:pPr>
              <w:pStyle w:val="Listenabsatz"/>
              <w:spacing w:before="600"/>
              <w:ind w:left="0"/>
              <w:contextualSpacing w:val="0"/>
              <w:jc w:val="center"/>
            </w:pPr>
            <w:r>
              <w:t>II</w:t>
            </w:r>
          </w:p>
        </w:tc>
        <w:tc>
          <w:tcPr>
            <w:tcW w:w="992" w:type="dxa"/>
            <w:shd w:val="clear" w:color="auto" w:fill="FFFFFF" w:themeFill="background1"/>
          </w:tcPr>
          <w:p w:rsidR="00E539B2" w:rsidRDefault="00E539B2" w:rsidP="00951C64">
            <w:pPr>
              <w:pStyle w:val="Listenabsatz"/>
              <w:spacing w:before="600"/>
              <w:ind w:left="0"/>
              <w:contextualSpacing w:val="0"/>
              <w:jc w:val="center"/>
            </w:pPr>
            <w:r>
              <w:t>E/EG</w:t>
            </w:r>
          </w:p>
        </w:tc>
      </w:tr>
      <w:tr w:rsidR="00E539B2" w:rsidTr="00076DE8">
        <w:tc>
          <w:tcPr>
            <w:tcW w:w="1106" w:type="dxa"/>
            <w:shd w:val="clear" w:color="auto" w:fill="FFFFFF" w:themeFill="background1"/>
          </w:tcPr>
          <w:p w:rsidR="00E539B2" w:rsidRDefault="00E539B2" w:rsidP="00951C64">
            <w:pPr>
              <w:pStyle w:val="Listenabsatz"/>
              <w:spacing w:before="120"/>
              <w:ind w:left="0"/>
              <w:jc w:val="center"/>
            </w:pPr>
            <w:r>
              <w:t>3</w:t>
            </w:r>
          </w:p>
        </w:tc>
        <w:tc>
          <w:tcPr>
            <w:tcW w:w="6520" w:type="dxa"/>
            <w:shd w:val="clear" w:color="auto" w:fill="FFFFFF" w:themeFill="background1"/>
          </w:tcPr>
          <w:p w:rsidR="00E539B2" w:rsidRPr="009503ED" w:rsidRDefault="00E539B2" w:rsidP="00951C64">
            <w:pPr>
              <w:spacing w:before="120"/>
              <w:rPr>
                <w:bCs/>
                <w:color w:val="000000" w:themeColor="text1"/>
              </w:rPr>
            </w:pPr>
            <w:r w:rsidRPr="009503ED">
              <w:rPr>
                <w:bCs/>
                <w:color w:val="000000" w:themeColor="text1"/>
              </w:rPr>
              <w:t>3b)</w:t>
            </w:r>
          </w:p>
          <w:p w:rsidR="00E539B2" w:rsidRPr="009503ED" w:rsidRDefault="00E539B2" w:rsidP="00BA748A">
            <w:pPr>
              <w:rPr>
                <w:bCs/>
                <w:color w:val="000000" w:themeColor="text1"/>
              </w:rPr>
            </w:pPr>
            <w:r w:rsidRPr="009503ED">
              <w:rPr>
                <w:bCs/>
                <w:color w:val="000000" w:themeColor="text1"/>
              </w:rPr>
              <w:t>Wasser: hohe Verdunstung, nicht nutzbare Salzseen entstehen</w:t>
            </w:r>
          </w:p>
          <w:p w:rsidR="00E539B2" w:rsidRPr="009503ED" w:rsidRDefault="00E539B2" w:rsidP="00BA748A">
            <w:pPr>
              <w:rPr>
                <w:bCs/>
                <w:color w:val="000000" w:themeColor="text1"/>
              </w:rPr>
            </w:pPr>
            <w:r w:rsidRPr="009503ED">
              <w:rPr>
                <w:bCs/>
                <w:color w:val="000000" w:themeColor="text1"/>
              </w:rPr>
              <w:t>Bios: Aussterben der wüstentypischen Tier- und Pflanzenwelt</w:t>
            </w:r>
          </w:p>
          <w:p w:rsidR="00E539B2" w:rsidRPr="009503ED" w:rsidRDefault="00E539B2" w:rsidP="00FC12E6">
            <w:pPr>
              <w:spacing w:before="120"/>
              <w:rPr>
                <w:bCs/>
                <w:color w:val="000000" w:themeColor="text1"/>
              </w:rPr>
            </w:pPr>
            <w:r w:rsidRPr="009503ED">
              <w:rPr>
                <w:bCs/>
                <w:color w:val="000000" w:themeColor="text1"/>
              </w:rPr>
              <w:lastRenderedPageBreak/>
              <w:t>Boden: Vergiftung der Böden durch Düngung</w:t>
            </w:r>
          </w:p>
          <w:p w:rsidR="00E539B2" w:rsidRPr="009503ED" w:rsidRDefault="00E539B2" w:rsidP="00951C64">
            <w:pPr>
              <w:rPr>
                <w:bCs/>
                <w:color w:val="000000" w:themeColor="text1"/>
              </w:rPr>
            </w:pPr>
            <w:r w:rsidRPr="009503ED">
              <w:rPr>
                <w:bCs/>
                <w:color w:val="000000" w:themeColor="text1"/>
              </w:rPr>
              <w:t>3c)</w:t>
            </w:r>
          </w:p>
          <w:p w:rsidR="00E539B2" w:rsidRPr="009503ED" w:rsidRDefault="00E539B2" w:rsidP="00951C64">
            <w:pPr>
              <w:rPr>
                <w:rFonts w:cs="Arial"/>
                <w:color w:val="000000" w:themeColor="text1"/>
              </w:rPr>
            </w:pPr>
            <w:r w:rsidRPr="009503ED">
              <w:rPr>
                <w:rFonts w:cs="Arial"/>
                <w:color w:val="000000" w:themeColor="text1"/>
              </w:rPr>
              <w:t>Schaffung von Anbaufeldern - hoher Einsatz von Dünger -Vergiftung der Böden</w:t>
            </w:r>
          </w:p>
          <w:p w:rsidR="00E539B2" w:rsidRPr="009503ED" w:rsidRDefault="00E539B2" w:rsidP="00951C64">
            <w:pPr>
              <w:rPr>
                <w:rFonts w:cs="Arial"/>
                <w:color w:val="000000" w:themeColor="text1"/>
              </w:rPr>
            </w:pPr>
          </w:p>
          <w:p w:rsidR="00E539B2" w:rsidRPr="009503ED" w:rsidRDefault="00E539B2" w:rsidP="00951C64">
            <w:pPr>
              <w:rPr>
                <w:rFonts w:cs="Arial"/>
                <w:color w:val="000000" w:themeColor="text1"/>
              </w:rPr>
            </w:pPr>
            <w:r w:rsidRPr="009503ED">
              <w:rPr>
                <w:rFonts w:cs="Arial"/>
                <w:color w:val="000000" w:themeColor="text1"/>
              </w:rPr>
              <w:t xml:space="preserve">Umleitung des Nilwassers aufgrund von Hochwasser </w:t>
            </w:r>
            <w:r>
              <w:rPr>
                <w:rFonts w:cs="Arial"/>
                <w:color w:val="000000" w:themeColor="text1"/>
              </w:rPr>
              <w:t>–</w:t>
            </w:r>
            <w:r w:rsidRPr="009503ED">
              <w:rPr>
                <w:rFonts w:cs="Arial"/>
                <w:color w:val="000000" w:themeColor="text1"/>
              </w:rPr>
              <w:t xml:space="preserve"> Flutu</w:t>
            </w:r>
            <w:r>
              <w:rPr>
                <w:rFonts w:cs="Arial"/>
                <w:color w:val="000000" w:themeColor="text1"/>
              </w:rPr>
              <w:t>ng d</w:t>
            </w:r>
            <w:r w:rsidRPr="009503ED">
              <w:rPr>
                <w:rFonts w:cs="Arial"/>
                <w:color w:val="000000" w:themeColor="text1"/>
              </w:rPr>
              <w:t>er Toshka-Seen inmitten der Wüste</w:t>
            </w:r>
            <w:r>
              <w:rPr>
                <w:rFonts w:cs="Arial"/>
                <w:color w:val="000000" w:themeColor="text1"/>
              </w:rPr>
              <w:t xml:space="preserve"> - </w:t>
            </w:r>
            <w:r w:rsidRPr="009503ED">
              <w:rPr>
                <w:rFonts w:cs="Arial"/>
                <w:color w:val="000000" w:themeColor="text1"/>
              </w:rPr>
              <w:t>sehr hohe Wasserverdunstung - nicht nutzbare Salzseen entstehen</w:t>
            </w:r>
          </w:p>
        </w:tc>
        <w:tc>
          <w:tcPr>
            <w:tcW w:w="851" w:type="dxa"/>
            <w:shd w:val="clear" w:color="auto" w:fill="FFFFFF" w:themeFill="background1"/>
          </w:tcPr>
          <w:p w:rsidR="00E539B2" w:rsidRDefault="00E539B2" w:rsidP="00951C64">
            <w:pPr>
              <w:pStyle w:val="Listenabsatz"/>
              <w:spacing w:before="600"/>
              <w:ind w:left="0"/>
              <w:jc w:val="center"/>
            </w:pPr>
            <w:r>
              <w:lastRenderedPageBreak/>
              <w:t>II</w:t>
            </w:r>
          </w:p>
          <w:p w:rsidR="00E539B2" w:rsidRDefault="00E539B2" w:rsidP="00951C64">
            <w:pPr>
              <w:pStyle w:val="Listenabsatz"/>
              <w:spacing w:before="960"/>
              <w:ind w:left="0"/>
              <w:contextualSpacing w:val="0"/>
              <w:jc w:val="center"/>
            </w:pPr>
            <w:r>
              <w:lastRenderedPageBreak/>
              <w:t>III</w:t>
            </w:r>
          </w:p>
        </w:tc>
        <w:tc>
          <w:tcPr>
            <w:tcW w:w="992" w:type="dxa"/>
            <w:shd w:val="clear" w:color="auto" w:fill="FFFFFF" w:themeFill="background1"/>
          </w:tcPr>
          <w:p w:rsidR="00E539B2" w:rsidRDefault="00E539B2" w:rsidP="00951C64">
            <w:pPr>
              <w:pStyle w:val="Listenabsatz"/>
              <w:spacing w:before="600"/>
              <w:ind w:left="0"/>
              <w:contextualSpacing w:val="0"/>
              <w:jc w:val="center"/>
            </w:pPr>
            <w:r>
              <w:lastRenderedPageBreak/>
              <w:t>E/EG</w:t>
            </w:r>
          </w:p>
          <w:p w:rsidR="00E539B2" w:rsidRPr="00AE781D" w:rsidRDefault="00E539B2" w:rsidP="00951C64">
            <w:pPr>
              <w:spacing w:before="960"/>
              <w:jc w:val="center"/>
            </w:pPr>
            <w:r>
              <w:lastRenderedPageBreak/>
              <w:t>K</w:t>
            </w:r>
          </w:p>
        </w:tc>
      </w:tr>
      <w:tr w:rsidR="00E539B2" w:rsidTr="00076DE8">
        <w:tc>
          <w:tcPr>
            <w:tcW w:w="1106" w:type="dxa"/>
            <w:shd w:val="clear" w:color="auto" w:fill="FFFFFF" w:themeFill="background1"/>
          </w:tcPr>
          <w:p w:rsidR="00E539B2" w:rsidRDefault="00E539B2" w:rsidP="00FC12E6">
            <w:pPr>
              <w:pStyle w:val="Listenabsatz"/>
              <w:spacing w:before="120"/>
              <w:ind w:left="0"/>
              <w:jc w:val="center"/>
            </w:pPr>
            <w:r>
              <w:lastRenderedPageBreak/>
              <w:t xml:space="preserve">4 </w:t>
            </w:r>
          </w:p>
        </w:tc>
        <w:tc>
          <w:tcPr>
            <w:tcW w:w="6520" w:type="dxa"/>
            <w:shd w:val="clear" w:color="auto" w:fill="FFFFFF" w:themeFill="background1"/>
          </w:tcPr>
          <w:p w:rsidR="00E539B2" w:rsidRPr="00AE781D" w:rsidRDefault="00E539B2" w:rsidP="00FC12E6">
            <w:pPr>
              <w:spacing w:before="120"/>
              <w:rPr>
                <w:bCs/>
              </w:rPr>
            </w:pPr>
            <w:r>
              <w:object w:dxaOrig="4680" w:dyaOrig="72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4pt;height:361.2pt" o:ole="">
                  <v:imagedata r:id="rId10" o:title=""/>
                </v:shape>
                <o:OLEObject Type="Embed" ProgID="PBrush" ShapeID="_x0000_i1025" DrawAspect="Content" ObjectID="_1679918275" r:id="rId11"/>
              </w:object>
            </w:r>
          </w:p>
        </w:tc>
        <w:tc>
          <w:tcPr>
            <w:tcW w:w="851" w:type="dxa"/>
            <w:shd w:val="clear" w:color="auto" w:fill="FFFFFF" w:themeFill="background1"/>
          </w:tcPr>
          <w:p w:rsidR="00E539B2" w:rsidRDefault="00E539B2" w:rsidP="00BA748A">
            <w:pPr>
              <w:pStyle w:val="Listenabsatz"/>
              <w:ind w:left="0"/>
              <w:jc w:val="center"/>
            </w:pPr>
          </w:p>
        </w:tc>
        <w:tc>
          <w:tcPr>
            <w:tcW w:w="992" w:type="dxa"/>
            <w:shd w:val="clear" w:color="auto" w:fill="FFFFFF" w:themeFill="background1"/>
          </w:tcPr>
          <w:p w:rsidR="00E539B2" w:rsidRDefault="00E539B2" w:rsidP="00BA748A">
            <w:pPr>
              <w:pStyle w:val="Listenabsatz"/>
              <w:ind w:left="0"/>
              <w:jc w:val="center"/>
            </w:pPr>
          </w:p>
        </w:tc>
      </w:tr>
    </w:tbl>
    <w:p w:rsidR="00951C64" w:rsidRDefault="00951C64" w:rsidP="00E539B2">
      <w:pPr>
        <w:spacing w:after="120"/>
      </w:pPr>
    </w:p>
    <w:p w:rsidR="00951C64" w:rsidRDefault="00951C64">
      <w:pPr>
        <w:spacing w:after="160" w:line="259" w:lineRule="auto"/>
      </w:pPr>
      <w:r>
        <w:br w:type="page"/>
      </w:r>
    </w:p>
    <w:p w:rsidR="00E539B2" w:rsidRPr="001E7022" w:rsidRDefault="00FC12E6" w:rsidP="00FC12E6">
      <w:pPr>
        <w:ind w:left="357" w:hanging="35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</w:t>
      </w:r>
      <w:r>
        <w:rPr>
          <w:b/>
          <w:sz w:val="24"/>
          <w:szCs w:val="24"/>
        </w:rPr>
        <w:tab/>
      </w:r>
      <w:r w:rsidR="00E539B2" w:rsidRPr="001E7022">
        <w:rPr>
          <w:b/>
          <w:sz w:val="24"/>
          <w:szCs w:val="24"/>
        </w:rPr>
        <w:t>Quellenverzeichnis</w:t>
      </w:r>
    </w:p>
    <w:tbl>
      <w:tblPr>
        <w:tblStyle w:val="Tabellenraster"/>
        <w:tblpPr w:leftFromText="141" w:rightFromText="141" w:vertAnchor="text" w:horzAnchor="margin" w:tblpY="294"/>
        <w:tblW w:w="9634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5386"/>
      </w:tblGrid>
      <w:tr w:rsidR="00FE2044" w:rsidRPr="007B0456" w:rsidTr="00FE2044">
        <w:trPr>
          <w:trHeight w:val="699"/>
        </w:trPr>
        <w:tc>
          <w:tcPr>
            <w:tcW w:w="1980" w:type="dxa"/>
            <w:shd w:val="clear" w:color="auto" w:fill="D9D9D9" w:themeFill="background1" w:themeFillShade="D9"/>
          </w:tcPr>
          <w:p w:rsidR="00FE2044" w:rsidRPr="009C7B0D" w:rsidRDefault="00FE2044" w:rsidP="00FE2044">
            <w:pPr>
              <w:spacing w:before="120" w:after="120"/>
              <w:rPr>
                <w:rFonts w:cs="Arial"/>
              </w:rPr>
            </w:pPr>
            <w:r w:rsidRPr="009C7B0D">
              <w:rPr>
                <w:rFonts w:cs="Arial"/>
              </w:rPr>
              <w:t>Seite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E2044" w:rsidRPr="009C7B0D" w:rsidRDefault="00FE2044" w:rsidP="00FE2044">
            <w:pPr>
              <w:spacing w:before="120"/>
              <w:rPr>
                <w:rFonts w:cs="Arial"/>
              </w:rPr>
            </w:pPr>
            <w:r w:rsidRPr="009C7B0D">
              <w:rPr>
                <w:rFonts w:cs="Arial"/>
              </w:rPr>
              <w:t>Name der Quelle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FE2044" w:rsidRPr="009C7B0D" w:rsidRDefault="00FE2044" w:rsidP="00FE2044">
            <w:pPr>
              <w:spacing w:before="120"/>
              <w:rPr>
                <w:rFonts w:cs="Arial"/>
              </w:rPr>
            </w:pPr>
            <w:r w:rsidRPr="009C7B0D">
              <w:rPr>
                <w:rFonts w:cs="Arial"/>
              </w:rPr>
              <w:t>Ursprung (Link oder Werk)</w:t>
            </w:r>
          </w:p>
        </w:tc>
      </w:tr>
      <w:tr w:rsidR="00FE2044" w:rsidRPr="007B0456" w:rsidTr="00FE2044">
        <w:trPr>
          <w:trHeight w:val="1085"/>
        </w:trPr>
        <w:tc>
          <w:tcPr>
            <w:tcW w:w="1980" w:type="dxa"/>
            <w:shd w:val="clear" w:color="auto" w:fill="FFFFFF" w:themeFill="background1"/>
          </w:tcPr>
          <w:p w:rsidR="00FE2044" w:rsidRPr="009C7B0D" w:rsidRDefault="00FE2044" w:rsidP="00951C6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Titelbild/Rahmen-situation</w:t>
            </w:r>
          </w:p>
        </w:tc>
        <w:tc>
          <w:tcPr>
            <w:tcW w:w="2268" w:type="dxa"/>
            <w:shd w:val="clear" w:color="auto" w:fill="FFFFFF" w:themeFill="background1"/>
          </w:tcPr>
          <w:p w:rsidR="00FE2044" w:rsidRPr="009C7B0D" w:rsidRDefault="00FE2044" w:rsidP="00FE204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Pixabay: Wüstenlandschaft</w:t>
            </w:r>
          </w:p>
        </w:tc>
        <w:tc>
          <w:tcPr>
            <w:tcW w:w="5386" w:type="dxa"/>
            <w:shd w:val="clear" w:color="auto" w:fill="FFFFFF" w:themeFill="background1"/>
          </w:tcPr>
          <w:p w:rsidR="00FE2044" w:rsidRPr="009C7B0D" w:rsidRDefault="00FE2044" w:rsidP="00951C64">
            <w:pPr>
              <w:spacing w:before="120"/>
              <w:rPr>
                <w:rFonts w:cs="Arial"/>
              </w:rPr>
            </w:pPr>
            <w:r w:rsidRPr="002A27C4">
              <w:rPr>
                <w:rFonts w:cs="Arial"/>
              </w:rPr>
              <w:t>https://pixabay.com/de/photos/w%C3%BCste-san-d%C3%BCnen-tal-landschaft-4940500/</w:t>
            </w:r>
          </w:p>
        </w:tc>
      </w:tr>
      <w:tr w:rsidR="00FE2044" w:rsidRPr="007B0456" w:rsidTr="00FE2044">
        <w:trPr>
          <w:trHeight w:val="1085"/>
        </w:trPr>
        <w:tc>
          <w:tcPr>
            <w:tcW w:w="1980" w:type="dxa"/>
            <w:shd w:val="clear" w:color="auto" w:fill="FFFFFF" w:themeFill="background1"/>
          </w:tcPr>
          <w:p w:rsidR="00FE2044" w:rsidRDefault="00FE2044" w:rsidP="00951C64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Aufgabe 1a</w:t>
            </w:r>
          </w:p>
        </w:tc>
        <w:tc>
          <w:tcPr>
            <w:tcW w:w="2268" w:type="dxa"/>
            <w:shd w:val="clear" w:color="auto" w:fill="FFFFFF" w:themeFill="background1"/>
          </w:tcPr>
          <w:p w:rsidR="00FE2044" w:rsidRPr="009C7B0D" w:rsidRDefault="00FE2044" w:rsidP="00FE2044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D-Maps: Ägyptenkarte</w:t>
            </w:r>
          </w:p>
        </w:tc>
        <w:tc>
          <w:tcPr>
            <w:tcW w:w="5386" w:type="dxa"/>
            <w:shd w:val="clear" w:color="auto" w:fill="FFFFFF" w:themeFill="background1"/>
          </w:tcPr>
          <w:p w:rsidR="00FE2044" w:rsidRDefault="00FE2044" w:rsidP="00951C64">
            <w:pPr>
              <w:spacing w:before="120"/>
              <w:rPr>
                <w:rFonts w:cs="Arial"/>
              </w:rPr>
            </w:pPr>
            <w:r w:rsidRPr="001D763F">
              <w:rPr>
                <w:rFonts w:cs="Arial"/>
              </w:rPr>
              <w:t>https://d-maps.com/</w:t>
            </w:r>
            <w:r>
              <w:rPr>
                <w:rFonts w:cs="Arial"/>
              </w:rPr>
              <w:br/>
            </w:r>
            <w:r w:rsidRPr="001D763F">
              <w:rPr>
                <w:rFonts w:cs="Arial"/>
              </w:rPr>
              <w:t>carte.php?&amp;num_car=918&amp;</w:t>
            </w:r>
            <w:r>
              <w:rPr>
                <w:rFonts w:cs="Arial"/>
              </w:rPr>
              <w:br/>
            </w:r>
            <w:r w:rsidRPr="001D763F">
              <w:rPr>
                <w:rFonts w:cs="Arial"/>
              </w:rPr>
              <w:t>lang=de</w:t>
            </w:r>
          </w:p>
        </w:tc>
      </w:tr>
      <w:tr w:rsidR="00FE2044" w:rsidRPr="007B0456" w:rsidTr="00FE2044">
        <w:trPr>
          <w:trHeight w:val="1085"/>
        </w:trPr>
        <w:tc>
          <w:tcPr>
            <w:tcW w:w="1980" w:type="dxa"/>
            <w:shd w:val="clear" w:color="auto" w:fill="FFFFFF" w:themeFill="background1"/>
          </w:tcPr>
          <w:p w:rsidR="00FE2044" w:rsidRDefault="00FE2044" w:rsidP="00951C64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Aufgabe 2</w:t>
            </w:r>
          </w:p>
        </w:tc>
        <w:tc>
          <w:tcPr>
            <w:tcW w:w="2268" w:type="dxa"/>
            <w:shd w:val="clear" w:color="auto" w:fill="FFFFFF" w:themeFill="background1"/>
          </w:tcPr>
          <w:p w:rsidR="00FE2044" w:rsidRPr="009C7B0D" w:rsidRDefault="00FE2044" w:rsidP="00076DE8">
            <w:pPr>
              <w:spacing w:before="120" w:after="120"/>
              <w:rPr>
                <w:rFonts w:cs="Arial"/>
              </w:rPr>
            </w:pPr>
            <w:r w:rsidRPr="00253324">
              <w:rPr>
                <w:rFonts w:cs="Arial"/>
              </w:rPr>
              <w:t>Satellitenbild Toshkaregion</w:t>
            </w:r>
          </w:p>
        </w:tc>
        <w:tc>
          <w:tcPr>
            <w:tcW w:w="5386" w:type="dxa"/>
            <w:shd w:val="clear" w:color="auto" w:fill="FFFFFF" w:themeFill="background1"/>
          </w:tcPr>
          <w:p w:rsidR="00FE2044" w:rsidRDefault="00FE2044" w:rsidP="00076DE8">
            <w:pPr>
              <w:spacing w:before="120" w:after="120"/>
              <w:rPr>
                <w:rFonts w:cs="Arial"/>
              </w:rPr>
            </w:pPr>
            <w:r w:rsidRPr="00253324">
              <w:rPr>
                <w:rFonts w:cs="Arial"/>
              </w:rPr>
              <w:t>https://visibleearth.nasa.gov/images/95131/lake-nasser-and-toshka-lakes-egypt/95133l</w:t>
            </w:r>
          </w:p>
        </w:tc>
      </w:tr>
      <w:tr w:rsidR="00FE2044" w:rsidRPr="006F1E9E" w:rsidTr="00FE2044">
        <w:trPr>
          <w:trHeight w:val="1634"/>
        </w:trPr>
        <w:tc>
          <w:tcPr>
            <w:tcW w:w="1980" w:type="dxa"/>
            <w:shd w:val="clear" w:color="auto" w:fill="FFFFFF" w:themeFill="background1"/>
          </w:tcPr>
          <w:p w:rsidR="00FE2044" w:rsidRDefault="00FE2044" w:rsidP="00076DE8">
            <w:pPr>
              <w:spacing w:before="120" w:line="240" w:lineRule="auto"/>
              <w:rPr>
                <w:rFonts w:cs="Arial"/>
              </w:rPr>
            </w:pPr>
            <w:r>
              <w:rPr>
                <w:rFonts w:cs="Arial"/>
              </w:rPr>
              <w:t>Aufgabe 3</w:t>
            </w:r>
          </w:p>
          <w:p w:rsidR="00FE2044" w:rsidRDefault="00FE2044" w:rsidP="00951C64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(Bild 1)</w:t>
            </w:r>
          </w:p>
        </w:tc>
        <w:tc>
          <w:tcPr>
            <w:tcW w:w="2268" w:type="dxa"/>
            <w:shd w:val="clear" w:color="auto" w:fill="FFFFFF" w:themeFill="background1"/>
          </w:tcPr>
          <w:p w:rsidR="00FE2044" w:rsidRPr="00FE2044" w:rsidRDefault="00FE2044" w:rsidP="00FE2044">
            <w:pPr>
              <w:spacing w:before="120" w:after="120"/>
              <w:rPr>
                <w:rFonts w:cs="Arial"/>
                <w:lang w:val="en-GB"/>
              </w:rPr>
            </w:pPr>
            <w:r w:rsidRPr="00FE2044">
              <w:rPr>
                <w:rFonts w:cs="Arial"/>
                <w:lang w:val="en-GB"/>
              </w:rPr>
              <w:t>Flickr:</w:t>
            </w:r>
            <w:r>
              <w:rPr>
                <w:rFonts w:cs="Arial"/>
                <w:lang w:val="en-GB"/>
              </w:rPr>
              <w:br/>
            </w:r>
            <w:r w:rsidRPr="00FE2044">
              <w:rPr>
                <w:rFonts w:cs="Arial"/>
                <w:lang w:val="en-GB"/>
              </w:rPr>
              <w:t xml:space="preserve">Toshka </w:t>
            </w:r>
            <w:r w:rsidRPr="00EB3A52">
              <w:rPr>
                <w:rFonts w:cs="Arial"/>
                <w:lang w:val="en-GB"/>
              </w:rPr>
              <w:t>Lakes</w:t>
            </w:r>
            <w:r w:rsidRPr="00FE2044">
              <w:rPr>
                <w:rFonts w:cs="Arial"/>
                <w:lang w:val="en-GB"/>
              </w:rPr>
              <w:t>, Southern Egypt, Feb. 2013</w:t>
            </w:r>
          </w:p>
        </w:tc>
        <w:tc>
          <w:tcPr>
            <w:tcW w:w="5386" w:type="dxa"/>
            <w:shd w:val="clear" w:color="auto" w:fill="FFFFFF" w:themeFill="background1"/>
          </w:tcPr>
          <w:p w:rsidR="00FE2044" w:rsidRPr="00FE2044" w:rsidRDefault="00FE2044" w:rsidP="00076DE8">
            <w:pPr>
              <w:spacing w:before="120" w:after="120"/>
              <w:rPr>
                <w:rFonts w:cs="Arial"/>
                <w:lang w:val="en-GB"/>
              </w:rPr>
            </w:pPr>
            <w:r w:rsidRPr="00FE2044">
              <w:rPr>
                <w:rFonts w:cs="Arial"/>
                <w:lang w:val="en-GB"/>
              </w:rPr>
              <w:t>https://www.flickr.com/photos/gridarendal/32047892046/</w:t>
            </w:r>
          </w:p>
        </w:tc>
      </w:tr>
      <w:tr w:rsidR="00FE2044" w:rsidRPr="006F1E9E" w:rsidTr="00FE2044">
        <w:trPr>
          <w:trHeight w:val="1085"/>
        </w:trPr>
        <w:tc>
          <w:tcPr>
            <w:tcW w:w="1980" w:type="dxa"/>
            <w:shd w:val="clear" w:color="auto" w:fill="FFFFFF" w:themeFill="background1"/>
          </w:tcPr>
          <w:p w:rsidR="00FE2044" w:rsidRDefault="00FE2044" w:rsidP="00076DE8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Aufgabe 3</w:t>
            </w:r>
          </w:p>
          <w:p w:rsidR="00FE2044" w:rsidRDefault="00FE2044" w:rsidP="00951C64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(Bild 2)</w:t>
            </w:r>
          </w:p>
        </w:tc>
        <w:tc>
          <w:tcPr>
            <w:tcW w:w="2268" w:type="dxa"/>
            <w:shd w:val="clear" w:color="auto" w:fill="FFFFFF" w:themeFill="background1"/>
          </w:tcPr>
          <w:p w:rsidR="00FE2044" w:rsidRPr="00FE2044" w:rsidRDefault="00FE2044" w:rsidP="00FE2044">
            <w:pPr>
              <w:spacing w:before="120" w:after="120"/>
              <w:rPr>
                <w:rFonts w:cs="Arial"/>
                <w:lang w:val="en-GB"/>
              </w:rPr>
            </w:pPr>
            <w:r w:rsidRPr="00FE2044">
              <w:rPr>
                <w:rFonts w:cs="Arial"/>
                <w:lang w:val="en-GB"/>
              </w:rPr>
              <w:t xml:space="preserve">Wikimedia: </w:t>
            </w:r>
            <w:r>
              <w:rPr>
                <w:rFonts w:cs="Arial"/>
                <w:lang w:val="en-GB"/>
              </w:rPr>
              <w:br/>
            </w:r>
            <w:r w:rsidRPr="00FE2044">
              <w:rPr>
                <w:rFonts w:eastAsia="Times New Roman" w:cs="Arial"/>
                <w:color w:val="000000"/>
                <w:kern w:val="36"/>
                <w:lang w:val="en-GB" w:eastAsia="de-DE"/>
              </w:rPr>
              <w:t xml:space="preserve">Toshka </w:t>
            </w:r>
            <w:r w:rsidRPr="00FE2044">
              <w:rPr>
                <w:rFonts w:cs="Arial"/>
                <w:lang w:val="en-GB"/>
              </w:rPr>
              <w:t>syphon</w:t>
            </w:r>
            <w:r w:rsidRPr="00FE2044">
              <w:rPr>
                <w:rFonts w:eastAsia="Times New Roman" w:cs="Arial"/>
                <w:color w:val="000000"/>
                <w:kern w:val="36"/>
                <w:lang w:val="en-GB" w:eastAsia="de-DE"/>
              </w:rPr>
              <w:t xml:space="preserve"> construction site</w:t>
            </w:r>
          </w:p>
        </w:tc>
        <w:tc>
          <w:tcPr>
            <w:tcW w:w="5386" w:type="dxa"/>
            <w:shd w:val="clear" w:color="auto" w:fill="FFFFFF" w:themeFill="background1"/>
          </w:tcPr>
          <w:p w:rsidR="00FE2044" w:rsidRPr="00FE2044" w:rsidRDefault="00FE2044" w:rsidP="00076DE8">
            <w:pPr>
              <w:spacing w:before="120"/>
              <w:rPr>
                <w:rFonts w:cs="Arial"/>
                <w:lang w:val="en-GB"/>
              </w:rPr>
            </w:pPr>
            <w:r w:rsidRPr="00FE2044">
              <w:rPr>
                <w:rFonts w:cs="Arial"/>
                <w:lang w:val="en-GB"/>
              </w:rPr>
              <w:t>https://commons.wikimedia.org/wiki/File:Toshka_syphon_construction_site.jpg</w:t>
            </w:r>
          </w:p>
        </w:tc>
      </w:tr>
      <w:tr w:rsidR="00FE2044" w:rsidRPr="006F1E9E" w:rsidTr="00FE2044">
        <w:trPr>
          <w:trHeight w:val="1085"/>
        </w:trPr>
        <w:tc>
          <w:tcPr>
            <w:tcW w:w="1980" w:type="dxa"/>
            <w:shd w:val="clear" w:color="auto" w:fill="FFFFFF" w:themeFill="background1"/>
          </w:tcPr>
          <w:p w:rsidR="00FE2044" w:rsidRDefault="00FE2044" w:rsidP="00076DE8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Aufgabe 3</w:t>
            </w:r>
          </w:p>
          <w:p w:rsidR="00FE2044" w:rsidRDefault="00FE2044" w:rsidP="00951C64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(Bild 3)</w:t>
            </w:r>
          </w:p>
        </w:tc>
        <w:tc>
          <w:tcPr>
            <w:tcW w:w="2268" w:type="dxa"/>
            <w:shd w:val="clear" w:color="auto" w:fill="FFFFFF" w:themeFill="background1"/>
          </w:tcPr>
          <w:p w:rsidR="00FE2044" w:rsidRPr="00FE2044" w:rsidRDefault="00FE2044" w:rsidP="00FE2044">
            <w:pPr>
              <w:spacing w:before="120" w:after="120"/>
              <w:rPr>
                <w:rFonts w:cs="Arial"/>
                <w:lang w:val="en-GB"/>
              </w:rPr>
            </w:pPr>
            <w:r w:rsidRPr="00FE2044">
              <w:rPr>
                <w:rFonts w:cs="Arial"/>
                <w:lang w:val="en-GB"/>
              </w:rPr>
              <w:t>Flickr:</w:t>
            </w:r>
            <w:r>
              <w:rPr>
                <w:rFonts w:cs="Arial"/>
                <w:lang w:val="en-GB"/>
              </w:rPr>
              <w:br/>
            </w:r>
            <w:r w:rsidRPr="00FE2044">
              <w:rPr>
                <w:rFonts w:cs="Arial"/>
                <w:lang w:val="en-GB"/>
              </w:rPr>
              <w:t>Irrigation plots between Lake Nasser and Toshka Lakes, Egypt</w:t>
            </w:r>
          </w:p>
        </w:tc>
        <w:tc>
          <w:tcPr>
            <w:tcW w:w="5386" w:type="dxa"/>
            <w:shd w:val="clear" w:color="auto" w:fill="FFFFFF" w:themeFill="background1"/>
          </w:tcPr>
          <w:p w:rsidR="00FE2044" w:rsidRPr="00FE2044" w:rsidRDefault="00FE2044" w:rsidP="00076DE8">
            <w:pPr>
              <w:spacing w:before="120" w:after="120"/>
              <w:rPr>
                <w:rFonts w:cs="Arial"/>
                <w:lang w:val="en-GB"/>
              </w:rPr>
            </w:pPr>
            <w:r w:rsidRPr="00FE2044">
              <w:rPr>
                <w:rFonts w:cs="Arial"/>
                <w:lang w:val="en-GB"/>
              </w:rPr>
              <w:t>https://www.flickr.com/photos/gridarendal/31711531090/</w:t>
            </w:r>
          </w:p>
        </w:tc>
      </w:tr>
    </w:tbl>
    <w:p w:rsidR="005F45BB" w:rsidRPr="00FE2044" w:rsidRDefault="005F45BB" w:rsidP="001142C9">
      <w:pPr>
        <w:rPr>
          <w:lang w:val="en-GB"/>
        </w:rPr>
      </w:pPr>
    </w:p>
    <w:sectPr w:rsidR="005F45BB" w:rsidRPr="00FE2044" w:rsidSect="00637E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588" w:right="1134" w:bottom="1247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BF0" w:rsidRDefault="00220BF0">
      <w:pPr>
        <w:spacing w:line="240" w:lineRule="auto"/>
      </w:pPr>
      <w:r>
        <w:separator/>
      </w:r>
    </w:p>
  </w:endnote>
  <w:endnote w:type="continuationSeparator" w:id="0">
    <w:p w:rsidR="00220BF0" w:rsidRDefault="00220B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757" w:rsidRDefault="006237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7420528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23757" w:rsidRPr="0085405B" w:rsidRDefault="00623757" w:rsidP="00623757">
        <w:pPr>
          <w:pBdr>
            <w:top w:val="single" w:sz="4" w:space="1" w:color="auto"/>
          </w:pBdr>
          <w:tabs>
            <w:tab w:val="center" w:pos="4536"/>
            <w:tab w:val="right" w:pos="9072"/>
          </w:tabs>
          <w:jc w:val="center"/>
          <w:rPr>
            <w:rFonts w:cs="Arial"/>
            <w:sz w:val="20"/>
            <w:szCs w:val="20"/>
          </w:rPr>
        </w:pPr>
        <w:r w:rsidRPr="00623757">
          <w:rPr>
            <w:rFonts w:cs="Arial"/>
            <w:sz w:val="18"/>
            <w:szCs w:val="18"/>
          </w:rPr>
          <w:t xml:space="preserve"> </w:t>
        </w:r>
        <w:r w:rsidRPr="0085405B">
          <w:rPr>
            <w:rFonts w:cs="Arial"/>
            <w:sz w:val="18"/>
            <w:szCs w:val="18"/>
          </w:rPr>
          <w:t>Quelle: Bildungsserver Sachsen-Anhalt (http://www.bildung-lsa.de) | Lizenz: Creative Commons (CC BY-SA 3.0)</w:t>
        </w:r>
      </w:p>
      <w:p w:rsidR="00B72B85" w:rsidRPr="00076DE8" w:rsidRDefault="00E539B2" w:rsidP="00623757">
        <w:pPr>
          <w:pStyle w:val="Fuzeile"/>
          <w:pBdr>
            <w:top w:val="single" w:sz="4" w:space="1" w:color="auto"/>
          </w:pBdr>
          <w:jc w:val="center"/>
          <w:rPr>
            <w:sz w:val="20"/>
            <w:szCs w:val="20"/>
          </w:rPr>
        </w:pPr>
        <w:r w:rsidRPr="00076DE8">
          <w:rPr>
            <w:sz w:val="20"/>
            <w:szCs w:val="20"/>
          </w:rPr>
          <w:fldChar w:fldCharType="begin"/>
        </w:r>
        <w:r w:rsidRPr="00076DE8">
          <w:rPr>
            <w:sz w:val="20"/>
            <w:szCs w:val="20"/>
          </w:rPr>
          <w:instrText>PAGE   \* MERGEFORMAT</w:instrText>
        </w:r>
        <w:r w:rsidRPr="00076DE8">
          <w:rPr>
            <w:sz w:val="20"/>
            <w:szCs w:val="20"/>
          </w:rPr>
          <w:fldChar w:fldCharType="separate"/>
        </w:r>
        <w:r w:rsidR="006F1E9E">
          <w:rPr>
            <w:noProof/>
            <w:sz w:val="20"/>
            <w:szCs w:val="20"/>
          </w:rPr>
          <w:t>2</w:t>
        </w:r>
        <w:r w:rsidRPr="00076DE8">
          <w:rPr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757" w:rsidRDefault="006237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BF0" w:rsidRDefault="00220BF0">
      <w:pPr>
        <w:spacing w:line="240" w:lineRule="auto"/>
      </w:pPr>
      <w:r>
        <w:separator/>
      </w:r>
    </w:p>
  </w:footnote>
  <w:footnote w:type="continuationSeparator" w:id="0">
    <w:p w:rsidR="00220BF0" w:rsidRDefault="00220B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757" w:rsidRDefault="006237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EFE" w:rsidRPr="00637EFE" w:rsidRDefault="00637EFE" w:rsidP="00637EFE">
    <w:pPr>
      <w:pStyle w:val="Kopfzeile"/>
      <w:pBdr>
        <w:bottom w:val="single" w:sz="4" w:space="1" w:color="auto"/>
      </w:pBdr>
      <w:jc w:val="right"/>
      <w:rPr>
        <w:sz w:val="20"/>
        <w:szCs w:val="20"/>
      </w:rPr>
    </w:pPr>
    <w:r w:rsidRPr="00637EFE">
      <w:rPr>
        <w:sz w:val="20"/>
        <w:szCs w:val="20"/>
      </w:rPr>
      <w:t>Hinweise für die Lehrkraft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757" w:rsidRDefault="006237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93E"/>
    <w:multiLevelType w:val="hybridMultilevel"/>
    <w:tmpl w:val="42B6AE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84688"/>
    <w:multiLevelType w:val="hybridMultilevel"/>
    <w:tmpl w:val="35F6A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363C"/>
    <w:multiLevelType w:val="hybridMultilevel"/>
    <w:tmpl w:val="D326DF70"/>
    <w:lvl w:ilvl="0" w:tplc="C1AC86FE">
      <w:start w:val="1"/>
      <w:numFmt w:val="bullet"/>
      <w:lvlText w:val="–"/>
      <w:lvlJc w:val="left"/>
      <w:pPr>
        <w:ind w:left="1428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4762F8"/>
    <w:multiLevelType w:val="hybridMultilevel"/>
    <w:tmpl w:val="1B02850A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6D71DD"/>
    <w:multiLevelType w:val="hybridMultilevel"/>
    <w:tmpl w:val="E71E0D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0856D9"/>
    <w:multiLevelType w:val="hybridMultilevel"/>
    <w:tmpl w:val="EF78685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B110FD"/>
    <w:multiLevelType w:val="hybridMultilevel"/>
    <w:tmpl w:val="DD742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54152"/>
    <w:multiLevelType w:val="hybridMultilevel"/>
    <w:tmpl w:val="68AAD3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348A7"/>
    <w:multiLevelType w:val="multilevel"/>
    <w:tmpl w:val="065C77F4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914A91"/>
    <w:multiLevelType w:val="hybridMultilevel"/>
    <w:tmpl w:val="A62A35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DE5734"/>
    <w:multiLevelType w:val="hybridMultilevel"/>
    <w:tmpl w:val="43A81670"/>
    <w:lvl w:ilvl="0" w:tplc="06E83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BAF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B8B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463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509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2E5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203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C6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7A6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8DD080E"/>
    <w:multiLevelType w:val="hybridMultilevel"/>
    <w:tmpl w:val="C4768B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4119A8"/>
    <w:multiLevelType w:val="hybridMultilevel"/>
    <w:tmpl w:val="0B9A6B2A"/>
    <w:lvl w:ilvl="0" w:tplc="C1AC86F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91E5D"/>
    <w:multiLevelType w:val="hybridMultilevel"/>
    <w:tmpl w:val="C804E0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2084B"/>
    <w:multiLevelType w:val="hybridMultilevel"/>
    <w:tmpl w:val="C96CB7C4"/>
    <w:lvl w:ilvl="0" w:tplc="C1AC86F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23BDA"/>
    <w:multiLevelType w:val="hybridMultilevel"/>
    <w:tmpl w:val="C3148068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5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  <w:num w:numId="11">
    <w:abstractNumId w:val="4"/>
  </w:num>
  <w:num w:numId="12">
    <w:abstractNumId w:val="10"/>
  </w:num>
  <w:num w:numId="13">
    <w:abstractNumId w:val="11"/>
  </w:num>
  <w:num w:numId="14">
    <w:abstractNumId w:val="1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61"/>
    <w:rsid w:val="00034113"/>
    <w:rsid w:val="00076DE8"/>
    <w:rsid w:val="001142C9"/>
    <w:rsid w:val="001D23B9"/>
    <w:rsid w:val="00220BF0"/>
    <w:rsid w:val="00475994"/>
    <w:rsid w:val="004B7AB5"/>
    <w:rsid w:val="00511725"/>
    <w:rsid w:val="005F45BB"/>
    <w:rsid w:val="00623757"/>
    <w:rsid w:val="00637EFE"/>
    <w:rsid w:val="006F1E9E"/>
    <w:rsid w:val="0074655F"/>
    <w:rsid w:val="00951C64"/>
    <w:rsid w:val="00A7674C"/>
    <w:rsid w:val="00A97DD4"/>
    <w:rsid w:val="00DD2F61"/>
    <w:rsid w:val="00DE6015"/>
    <w:rsid w:val="00E539B2"/>
    <w:rsid w:val="00EB3A52"/>
    <w:rsid w:val="00FC12E6"/>
    <w:rsid w:val="00FE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9ADA62"/>
  <w15:chartTrackingRefBased/>
  <w15:docId w15:val="{637227AD-3667-4066-BA51-74D4E30A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2F61"/>
    <w:pPr>
      <w:spacing w:after="0" w:line="36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D2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D2F61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E539B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39B2"/>
    <w:rPr>
      <w:rFonts w:ascii="Arial" w:hAnsi="Arial"/>
    </w:rPr>
  </w:style>
  <w:style w:type="character" w:styleId="Seitenzahl">
    <w:name w:val="page number"/>
    <w:rsid w:val="00E539B2"/>
    <w:rPr>
      <w:rFonts w:ascii="Arial" w:hAnsi="Arial"/>
      <w:sz w:val="20"/>
    </w:rPr>
  </w:style>
  <w:style w:type="character" w:customStyle="1" w:styleId="contenttext">
    <w:name w:val="contenttext"/>
    <w:basedOn w:val="Absatz-Standardschriftart"/>
    <w:rsid w:val="00E539B2"/>
  </w:style>
  <w:style w:type="paragraph" w:styleId="StandardWeb">
    <w:name w:val="Normal (Web)"/>
    <w:basedOn w:val="Standard"/>
    <w:uiPriority w:val="99"/>
    <w:semiHidden/>
    <w:unhideWhenUsed/>
    <w:rsid w:val="00E539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37EF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7EFE"/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EB3A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-selessa@sachsen-anhalt.d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odle.bildung-lsa.de/einsteiger/course/view.php?id=3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636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Riechert</dc:creator>
  <cp:keywords/>
  <dc:description/>
  <cp:lastModifiedBy>Neubauer, Andrea</cp:lastModifiedBy>
  <cp:revision>12</cp:revision>
  <dcterms:created xsi:type="dcterms:W3CDTF">2020-06-10T13:27:00Z</dcterms:created>
  <dcterms:modified xsi:type="dcterms:W3CDTF">2021-04-14T13:11:00Z</dcterms:modified>
</cp:coreProperties>
</file>